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6DF" w:rsidRPr="00EE221E" w:rsidRDefault="00F426DF" w:rsidP="00F426DF">
      <w:pPr>
        <w:pStyle w:val="a3"/>
        <w:numPr>
          <w:ilvl w:val="0"/>
          <w:numId w:val="1"/>
        </w:numPr>
        <w:shd w:val="clear" w:color="auto" w:fill="FFFFFF"/>
        <w:spacing w:before="0" w:beforeAutospacing="0" w:after="0" w:afterAutospacing="0"/>
        <w:ind w:left="0" w:firstLine="709"/>
        <w:jc w:val="both"/>
        <w:rPr>
          <w:color w:val="333333"/>
          <w:sz w:val="28"/>
          <w:szCs w:val="28"/>
        </w:rPr>
      </w:pPr>
      <w:r w:rsidRPr="00EE221E">
        <w:rPr>
          <w:rFonts w:eastAsia="Times New Roman"/>
          <w:b/>
          <w:bCs/>
          <w:color w:val="333333"/>
          <w:sz w:val="28"/>
          <w:szCs w:val="28"/>
          <w:shd w:val="clear" w:color="auto" w:fill="FFFFFF"/>
        </w:rPr>
        <w:t>Ответственность за вред, причиненный несовершеннолетнему в образовательном учреждении</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Создание необходимых условий для охраны и укрепления здоровья обучающихся относится к компетенции образовательной организации.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в соответствии с установленными нормами, обеспечивающими жизнь и здоровье.</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Охрана здоровья обучающихся включает в себя обеспечение их безопасности во время пребывания в организации, осуществляющей образовательную деятельность.</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При создании условий для охраны здоровья обучающихся, в том числе обеспечивают: текущий контроль за состоянием здоровья обучающихся, расследование и учет несчастных случаев с обучающимися во время пребывания в организации, осуществляющей образовательную деятельность.</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Согласно статье 1073 Гражданского кодекса Российской Федерации, если малолетнему причинен вред в период, когда он временно находился под надзором образовательной, медицинской или иной организации, обязанных осуществлять за ним надзор, либо лица, осуществляющего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В случае увечья или иного вреда здоровью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 В случае если вред в добровольном порядке не возмещен, его взыскание возможно при обращении с иском в суд.</w:t>
      </w:r>
    </w:p>
    <w:p w:rsidR="00F426DF" w:rsidRPr="00EE221E" w:rsidRDefault="00F426DF" w:rsidP="00F426DF">
      <w:pPr>
        <w:pStyle w:val="a3"/>
        <w:shd w:val="clear" w:color="auto" w:fill="FFFFFF"/>
        <w:spacing w:before="0" w:beforeAutospacing="0" w:after="0" w:afterAutospacing="0"/>
        <w:ind w:firstLine="709"/>
        <w:jc w:val="both"/>
        <w:rPr>
          <w:rFonts w:eastAsia="Times New Roman"/>
          <w:b/>
          <w:bCs/>
          <w:color w:val="333333"/>
          <w:sz w:val="28"/>
          <w:szCs w:val="28"/>
          <w:shd w:val="clear" w:color="auto" w:fill="FFFFFF"/>
        </w:rPr>
      </w:pPr>
      <w:r w:rsidRPr="008C331F">
        <w:rPr>
          <w:b/>
          <w:color w:val="333333"/>
          <w:sz w:val="28"/>
          <w:szCs w:val="28"/>
        </w:rPr>
        <w:t>2</w:t>
      </w:r>
      <w:r w:rsidRPr="00EE221E">
        <w:rPr>
          <w:color w:val="333333"/>
          <w:sz w:val="28"/>
          <w:szCs w:val="28"/>
        </w:rPr>
        <w:t xml:space="preserve">. </w:t>
      </w:r>
      <w:r w:rsidRPr="00EE221E">
        <w:rPr>
          <w:rFonts w:eastAsia="Times New Roman"/>
          <w:b/>
          <w:bCs/>
          <w:color w:val="333333"/>
          <w:sz w:val="28"/>
          <w:szCs w:val="28"/>
          <w:shd w:val="clear" w:color="auto" w:fill="FFFFFF"/>
        </w:rPr>
        <w:t>Право детей-сирот на регистрацию до получения ими жилья от государства</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Постановлением Правительства Российской Федерации от 15 ноября 2022 года № 2069 внесены изменения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Изменены правила регистрации по месту жительства детей-сирот, детей, оставшихся без попечения родителей, лиц из их числа, достигших совершеннолетия или эмансипированных, до предоставления им благоустроенного жилья от государства или до исключения их из списка нуждающихся в жилье.</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Данные лица имеют право регистрироваться по месту жительства по адресу местной администрации (ее территориального органа) муниципального образования, на территории которого они проживают, в регионе, где они включены в список.</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lastRenderedPageBreak/>
        <w:t>Работники местной администрации проверят числиться ли лицо в списках на получение жилья и осуществят его регистрацию не позднее чем за 8 рабочих дней.</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Заявление о регистрации по месту жительства можно подать через Портал государственных услуг Российской Федерации.</w:t>
      </w:r>
    </w:p>
    <w:p w:rsidR="00F426DF" w:rsidRPr="00EE221E" w:rsidRDefault="00F426DF" w:rsidP="00F426DF">
      <w:pPr>
        <w:pStyle w:val="a3"/>
        <w:shd w:val="clear" w:color="auto" w:fill="FFFFFF"/>
        <w:spacing w:before="0" w:beforeAutospacing="0" w:after="0" w:afterAutospacing="0"/>
        <w:ind w:firstLine="709"/>
        <w:jc w:val="both"/>
        <w:rPr>
          <w:rFonts w:eastAsia="Times New Roman"/>
          <w:b/>
          <w:bCs/>
          <w:color w:val="333333"/>
          <w:sz w:val="28"/>
          <w:szCs w:val="28"/>
          <w:shd w:val="clear" w:color="auto" w:fill="FFFFFF"/>
        </w:rPr>
      </w:pPr>
      <w:r w:rsidRPr="008C331F">
        <w:rPr>
          <w:b/>
          <w:color w:val="333333"/>
          <w:sz w:val="28"/>
          <w:szCs w:val="28"/>
        </w:rPr>
        <w:t>3.</w:t>
      </w:r>
      <w:r w:rsidRPr="00EE221E">
        <w:rPr>
          <w:color w:val="333333"/>
          <w:sz w:val="28"/>
          <w:szCs w:val="28"/>
        </w:rPr>
        <w:t xml:space="preserve"> </w:t>
      </w:r>
      <w:r w:rsidRPr="00EE221E">
        <w:rPr>
          <w:rFonts w:eastAsia="Times New Roman"/>
          <w:b/>
          <w:bCs/>
          <w:color w:val="333333"/>
          <w:sz w:val="28"/>
          <w:szCs w:val="28"/>
          <w:shd w:val="clear" w:color="auto" w:fill="FFFFFF"/>
        </w:rPr>
        <w:t>Осторожно! Телефонное мошенничество!</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xml:space="preserve"> Несмотря на предупреждения правоохранительных органов и частые сообщения в СМИ о фактах телефонного мошенничества, жители </w:t>
      </w:r>
      <w:r>
        <w:rPr>
          <w:color w:val="333333"/>
          <w:sz w:val="28"/>
          <w:szCs w:val="28"/>
        </w:rPr>
        <w:t>Кировской</w:t>
      </w:r>
      <w:r w:rsidRPr="00EE221E">
        <w:rPr>
          <w:color w:val="333333"/>
          <w:sz w:val="28"/>
          <w:szCs w:val="28"/>
        </w:rPr>
        <w:t xml:space="preserve"> области, независимо от возраста и социального положения, продолжают попадаться на уловки «телефонных мошенников».</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Значительный массив таких преступлений составляют хищения, совершаемые путем телефонных звонков под видом представителей финансово-кредитных учреждений и сотрудников правоохранительных органов.</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Фактам противоправного безвозмездного изъятия денежных средств граждан зачастую предшествуют обстоятельства получения потерпевшими, введенными в заблуждение преступными действиями злоумышленников, кредитов в различных банковских учреждениях. При этом граждане получали заемные денежные средства как путем личного посещения финансово-кредитных учреждений, так и дистанционно, используя мобильные приложения банков.</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В большинстве случаев «телефонные мошенники» сообщают гражданам о попытках якобы незаконного оформления кредита и под предлогом отмены сомнительной операции выясняют реквизиты банковских карт либо убеждают перечислить денежные средства на указанные ими расчетные счета.</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Несмотря на неоднократные предупреждения органов прокуратуры и правоохранительных органов о таких «телефонных аферистах» граждане легко поддаются на их уловки и теряют практически все сбережения.</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Прокуратура области разъясняет, что указанные действия подпадают под признаки преступления, предусмотренного ст. 159 Уголовного Кодекса Российской Федерации – мошенничество, то есть хищение чужого имущества или приобретение права на чужое имущество путем обмана или злоупотребления доверием.</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Чтобы не стать жертвой злоумышленников, необходимо соблюдать простые правила безопасного поведения и обязательно довести их до сведения родных и близких: не следует сообщать звонившему, кем бы он не представлялся, персональные данные и коды, поступающие посредством СМС-сообщений, а также иные сведения личного характера. При поступлении такого телефонного звонка необходимо незамедлительно прекратить разговор.</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Кроме этого необходимо иметь ввиду, что представители правоохранительных органов и банковские работники в ходе осуществления звонков по телефону не спрашивают персональные данные клиентов, номера банковских карт и сроки их действия, не просят установить программы на телефон, перевести деньги на другой счет или в другой банк.</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lastRenderedPageBreak/>
        <w:t>При этом, сотрудники банка не имеют технической возможности переключать звонок клиента на другие организации: сторонние банки, правоохранительные органы.</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xml:space="preserve">В случае совершения в отношении Вас или Ваших близких мошеннических действий следует обращаться в органы внутренних дел. По сообщениям и заявлениям граждан о преступлениях указанной категории, поступившим в полицию, проводятся проверки в порядке </w:t>
      </w:r>
      <w:proofErr w:type="spellStart"/>
      <w:r w:rsidRPr="00EE221E">
        <w:rPr>
          <w:color w:val="333333"/>
          <w:sz w:val="28"/>
          <w:szCs w:val="28"/>
        </w:rPr>
        <w:t>ст.ст</w:t>
      </w:r>
      <w:proofErr w:type="spellEnd"/>
      <w:r w:rsidRPr="00EE221E">
        <w:rPr>
          <w:color w:val="333333"/>
          <w:sz w:val="28"/>
          <w:szCs w:val="28"/>
        </w:rPr>
        <w:t>. 144, 145 Уголовно-процессуального кодекса Российской Федерации. Законность принятых процессуальных решений в обязательном порядке проверяется органами прокуратуры.</w:t>
      </w:r>
    </w:p>
    <w:p w:rsidR="00F426DF" w:rsidRPr="00EE221E" w:rsidRDefault="00F426DF" w:rsidP="00F426DF">
      <w:pPr>
        <w:pStyle w:val="a3"/>
        <w:shd w:val="clear" w:color="auto" w:fill="FFFFFF"/>
        <w:spacing w:before="0" w:beforeAutospacing="0" w:after="0" w:afterAutospacing="0"/>
        <w:ind w:firstLine="709"/>
        <w:jc w:val="both"/>
        <w:rPr>
          <w:rFonts w:eastAsia="Times New Roman"/>
          <w:b/>
          <w:bCs/>
          <w:color w:val="333333"/>
          <w:sz w:val="28"/>
          <w:szCs w:val="28"/>
          <w:shd w:val="clear" w:color="auto" w:fill="FFFFFF"/>
        </w:rPr>
      </w:pPr>
      <w:r w:rsidRPr="008C331F">
        <w:rPr>
          <w:b/>
          <w:color w:val="333333"/>
          <w:sz w:val="28"/>
          <w:szCs w:val="28"/>
        </w:rPr>
        <w:t>4.</w:t>
      </w:r>
      <w:r w:rsidRPr="00EE221E">
        <w:rPr>
          <w:color w:val="333333"/>
          <w:sz w:val="28"/>
          <w:szCs w:val="28"/>
        </w:rPr>
        <w:t xml:space="preserve"> </w:t>
      </w:r>
      <w:r w:rsidRPr="00EE221E">
        <w:rPr>
          <w:rFonts w:eastAsia="Times New Roman"/>
          <w:b/>
          <w:bCs/>
          <w:color w:val="333333"/>
          <w:sz w:val="28"/>
          <w:szCs w:val="28"/>
          <w:shd w:val="clear" w:color="auto" w:fill="FFFFFF"/>
        </w:rPr>
        <w:t xml:space="preserve">Конституционный суд запретил лишать работников премий в </w:t>
      </w:r>
      <w:r w:rsidRPr="007A7637">
        <w:rPr>
          <w:rFonts w:eastAsia="Times New Roman"/>
          <w:b/>
          <w:bCs/>
          <w:iCs/>
          <w:color w:val="333333"/>
          <w:sz w:val="28"/>
          <w:szCs w:val="28"/>
          <w:shd w:val="clear" w:color="auto" w:fill="FFFFFF"/>
        </w:rPr>
        <w:t>период</w:t>
      </w:r>
      <w:r w:rsidRPr="00EE221E">
        <w:rPr>
          <w:rFonts w:eastAsia="Times New Roman"/>
          <w:b/>
          <w:bCs/>
          <w:color w:val="333333"/>
          <w:sz w:val="28"/>
          <w:szCs w:val="28"/>
          <w:shd w:val="clear" w:color="auto" w:fill="FFFFFF"/>
        </w:rPr>
        <w:t xml:space="preserve"> действия дисциплинарных взысканий</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Согласно позиции Конституционного суда РФ, изложенной в Постановлении от 15.06.2023 № 32-П, реализация права на справедливую заработную плату должна обеспечиваться в первую очередь нормами трудового законодательства, позволяющими производить оплату труда работников на основе объективных критериев, отражающих прежде всего квалификацию работника, характер, содержание, объем, качество и условия труда.</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Исходя из этого стимулирующие выплаты имеют определенное целевое назначение, что обусловливает возникновение права на их получение выполнением работником установленных действующим правовым регулированием требований (показателей, условий).</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Конституционный суд пришел к выводу, что работодатели не могут лишать работников стимулирующей доли зарплаты или произвольно ее снижать на весь период действия дисциплинарного взыскания.</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Взыскание можно учесть при премировании лишь за тот период, когда работник был привлечен к дисциплинарной ответственности.</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При этом снижать размер стимулирующей выплаты зарплаты допустимо так, чтобы доход уменьшился не более чем на 20 %.</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Таким образом, Конституционный суд посчитал, что ч. 2 ст. 135 ТК РФ противоречит Конституции, поскольку позволяет без учёта количества и качества труда, а также других объективных критериев, существенно уменьшать размер заработной платы работника с неснятым дисциплинарным взысканием.</w:t>
      </w:r>
    </w:p>
    <w:p w:rsidR="00F426DF" w:rsidRPr="00EE221E" w:rsidRDefault="00F426DF" w:rsidP="00F426DF">
      <w:pPr>
        <w:pStyle w:val="a3"/>
        <w:shd w:val="clear" w:color="auto" w:fill="FFFFFF"/>
        <w:spacing w:before="0" w:beforeAutospacing="0" w:after="0" w:afterAutospacing="0"/>
        <w:ind w:firstLine="709"/>
        <w:jc w:val="both"/>
        <w:rPr>
          <w:rFonts w:eastAsia="Times New Roman"/>
          <w:b/>
          <w:bCs/>
          <w:color w:val="333333"/>
          <w:sz w:val="28"/>
          <w:szCs w:val="28"/>
          <w:shd w:val="clear" w:color="auto" w:fill="FFFFFF"/>
        </w:rPr>
      </w:pPr>
      <w:r w:rsidRPr="008C331F">
        <w:rPr>
          <w:b/>
          <w:color w:val="333333"/>
          <w:sz w:val="28"/>
          <w:szCs w:val="28"/>
        </w:rPr>
        <w:t>5</w:t>
      </w:r>
      <w:r w:rsidRPr="00EE221E">
        <w:rPr>
          <w:color w:val="333333"/>
          <w:sz w:val="28"/>
          <w:szCs w:val="28"/>
        </w:rPr>
        <w:t xml:space="preserve">. </w:t>
      </w:r>
      <w:r>
        <w:rPr>
          <w:rFonts w:eastAsia="Times New Roman"/>
          <w:b/>
          <w:bCs/>
          <w:color w:val="333333"/>
          <w:sz w:val="28"/>
          <w:szCs w:val="28"/>
          <w:shd w:val="clear" w:color="auto" w:fill="FFFFFF"/>
        </w:rPr>
        <w:t>Н</w:t>
      </w:r>
      <w:r w:rsidRPr="00EE221E">
        <w:rPr>
          <w:rFonts w:eastAsia="Times New Roman"/>
          <w:b/>
          <w:bCs/>
          <w:color w:val="333333"/>
          <w:sz w:val="28"/>
          <w:szCs w:val="28"/>
          <w:shd w:val="clear" w:color="auto" w:fill="FFFFFF"/>
        </w:rPr>
        <w:t>а какое имущество не может быть обращено взыскание в рамках исполнительного производства</w:t>
      </w:r>
      <w:r>
        <w:rPr>
          <w:rFonts w:eastAsia="Times New Roman"/>
          <w:b/>
          <w:bCs/>
          <w:color w:val="333333"/>
          <w:sz w:val="28"/>
          <w:szCs w:val="28"/>
          <w:shd w:val="clear" w:color="auto" w:fill="FFFFFF"/>
        </w:rPr>
        <w:t>?</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Согласно ст. 69, ст. 79 Закона об исполнительном производстве, ст. 129 Гражданского кодекса Российской Федерации взыскание в рамках исполнительного производства нельзя обратить на имущество:</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xml:space="preserve">1) изъятое из гражданского оборота, </w:t>
      </w:r>
      <w:proofErr w:type="gramStart"/>
      <w:r w:rsidRPr="00EE221E">
        <w:rPr>
          <w:color w:val="333333"/>
          <w:sz w:val="28"/>
          <w:szCs w:val="28"/>
        </w:rPr>
        <w:t>например</w:t>
      </w:r>
      <w:proofErr w:type="gramEnd"/>
      <w:r w:rsidRPr="00EE221E">
        <w:rPr>
          <w:color w:val="333333"/>
          <w:sz w:val="28"/>
          <w:szCs w:val="28"/>
        </w:rPr>
        <w:t>:</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аэродромы;</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земельные участки, занятые федеральными государственными природными заповедниками и национальными парками;</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lastRenderedPageBreak/>
        <w:t>- объекты централизованных систем холодного водоснабжения и (или) водоотведения, нецентрализованных систем холодного водоснабжения, находящиеся в государственной или муниципальной собственности;</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2) на которое не позволяет обратить взыскание федеральный закон.</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Если должник - гражданин, то нельзя обратить взыскание, на его:</w:t>
      </w:r>
    </w:p>
    <w:p w:rsidR="00F426DF" w:rsidRPr="006635DD" w:rsidRDefault="00F426DF" w:rsidP="00F426DF">
      <w:pPr>
        <w:pStyle w:val="a3"/>
        <w:shd w:val="clear" w:color="auto" w:fill="FFFFFF"/>
        <w:spacing w:before="0" w:beforeAutospacing="0" w:after="0" w:afterAutospacing="0"/>
        <w:ind w:firstLine="709"/>
        <w:jc w:val="both"/>
        <w:rPr>
          <w:i/>
          <w:color w:val="333333"/>
          <w:sz w:val="28"/>
          <w:szCs w:val="28"/>
        </w:rPr>
      </w:pPr>
      <w:r w:rsidRPr="00EE221E">
        <w:rPr>
          <w:color w:val="333333"/>
          <w:sz w:val="28"/>
          <w:szCs w:val="28"/>
        </w:rPr>
        <w:t>- жилое помещение, если для должника и его семьи, это единственное пригодное для постоянного проживания помещение, и оно не является предметом ипотеки, на который можно обратить взыскание по Закону об ипотеке. При этом суд может посчитать необоснованным применение исполнительского иммунитета, если выполнено хотя бы одно из следующих условий: </w:t>
      </w:r>
      <w:r w:rsidRPr="006635DD">
        <w:rPr>
          <w:rStyle w:val="a4"/>
          <w:i w:val="0"/>
          <w:color w:val="333333"/>
          <w:sz w:val="28"/>
          <w:szCs w:val="28"/>
        </w:rPr>
        <w:t>отказ в его применении не оставит должника и членов его семьи без пригодного для проживания жилища площадью не меньшей, чем по нормам предоставления жилья на условиях социального найма в пределах того же поселения; обращение взыскания на жилое помещение может погасить существенную часть долга; отказ в его применении не вынудит должника изменить место жительства;</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предметы обычной домашней обстановки и обихода;</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продукты питания и деньги на общую сумму не менее величины прожиточного минимума должника и его иждивенцев, в том числе на зарплату и иные доходы должника в размере величины прожиточного минимума;</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некоторые доходы. Например, на выплаты в счет возмещения вреда здоровью;</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ежемесячный доход в пределах величины прожиточного минимума или больше такой величины, если есть решение суда или постановление пристава по заявлению о сохранении заработной платы и иных доходов должника-гражданина. Это ограничение не применяется по исполнительным документам с требованием о взыскании алиментов, о возмещении вреда здоровью, о возмещении вреда в связи со смертью кормильца, о возмещении ущерба, причиненного преступлением.</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Если должник - организация, то нельзя обратить взыскание, на ее:</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заложенное имущество с даты введения процедуры наблюдения при банкротстве;</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имущество из неделимого фонда сельскохозяйственного кооператива;</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предмет лизинга;</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xml:space="preserve">- деньги на </w:t>
      </w:r>
      <w:proofErr w:type="spellStart"/>
      <w:r w:rsidRPr="00EE221E">
        <w:rPr>
          <w:color w:val="333333"/>
          <w:sz w:val="28"/>
          <w:szCs w:val="28"/>
        </w:rPr>
        <w:t>спецсчете</w:t>
      </w:r>
      <w:proofErr w:type="spellEnd"/>
      <w:r w:rsidRPr="00EE221E">
        <w:rPr>
          <w:color w:val="333333"/>
          <w:sz w:val="28"/>
          <w:szCs w:val="28"/>
        </w:rPr>
        <w:t>, где формируется фонд капитального ремонта общего имущества в многоквартирном доме.</w:t>
      </w:r>
    </w:p>
    <w:p w:rsidR="00F426DF" w:rsidRPr="00EE221E" w:rsidRDefault="00F426DF" w:rsidP="00F426DF">
      <w:pPr>
        <w:pStyle w:val="a3"/>
        <w:shd w:val="clear" w:color="auto" w:fill="FFFFFF"/>
        <w:spacing w:before="0" w:beforeAutospacing="0" w:after="0" w:afterAutospacing="0"/>
        <w:ind w:firstLine="709"/>
        <w:jc w:val="both"/>
        <w:rPr>
          <w:rFonts w:eastAsia="Times New Roman"/>
          <w:b/>
          <w:bCs/>
          <w:color w:val="333333"/>
          <w:sz w:val="28"/>
          <w:szCs w:val="28"/>
          <w:shd w:val="clear" w:color="auto" w:fill="FFFFFF"/>
        </w:rPr>
      </w:pPr>
      <w:r w:rsidRPr="008C331F">
        <w:rPr>
          <w:b/>
          <w:color w:val="333333"/>
          <w:sz w:val="28"/>
          <w:szCs w:val="28"/>
        </w:rPr>
        <w:t>6</w:t>
      </w:r>
      <w:r w:rsidRPr="00EE221E">
        <w:rPr>
          <w:color w:val="333333"/>
          <w:sz w:val="28"/>
          <w:szCs w:val="28"/>
        </w:rPr>
        <w:t xml:space="preserve">. </w:t>
      </w:r>
      <w:r w:rsidRPr="00EE221E">
        <w:rPr>
          <w:rFonts w:eastAsia="Times New Roman"/>
          <w:b/>
          <w:bCs/>
          <w:color w:val="333333"/>
          <w:sz w:val="28"/>
          <w:szCs w:val="28"/>
          <w:shd w:val="clear" w:color="auto" w:fill="FFFFFF"/>
        </w:rPr>
        <w:t>Порядок восстановления срока принятия наследства</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Наследство открывается со смертью гражданина. Днем открытия наследства является день смерти гражданина.</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В соответствии со статьей 1152 Гражданского кодекса Российской Федерации для приобретения наследства наследник должен его принять. Принятие наследства осуществляется подачей по месту открытия наследства заявления наследника о принятии наследства либо заявления наследника о выдаче свидетельства о праве на наследство.</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lastRenderedPageBreak/>
        <w:t>Наследство может быть принято в течение шести месяцев со дня открытия наследства.</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По заявлению наследника, пропустившего срок, установленный для принятия наследства, суд может восстановить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При рассмотрении судом требований о восстановлении срока для принятия наследства несовершеннолетнему ребёнку, оценивается реальная возможность самого несовершеннолетнего заявить о своих правах на наследственное имущество, а не его законного представителя, то есть причины пропуска срока для принятия наследства должны быть связаны с личностью наследника.</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При этом ненадлежащее исполнение законным представителем возложенной на него статьей 64 Семейного кодекса Российской Федерации обязанности действовать в интересах несовершеннолетнего ребёнка не должно отрицательно сказываться на правах и интересах этого ребёнка как наследника, не обладавшего на момент открытия наследства дееспособностью в полном объёме.</w:t>
      </w:r>
    </w:p>
    <w:p w:rsidR="00F426DF" w:rsidRPr="00EE221E" w:rsidRDefault="00F426DF" w:rsidP="00F426DF">
      <w:pPr>
        <w:pStyle w:val="a3"/>
        <w:shd w:val="clear" w:color="auto" w:fill="FFFFFF"/>
        <w:spacing w:before="0" w:beforeAutospacing="0" w:after="0" w:afterAutospacing="0"/>
        <w:ind w:firstLine="709"/>
        <w:jc w:val="both"/>
        <w:rPr>
          <w:rFonts w:eastAsia="Times New Roman"/>
          <w:b/>
          <w:bCs/>
          <w:color w:val="333333"/>
          <w:sz w:val="28"/>
          <w:szCs w:val="28"/>
          <w:shd w:val="clear" w:color="auto" w:fill="FFFFFF"/>
        </w:rPr>
      </w:pPr>
      <w:r w:rsidRPr="008C331F">
        <w:rPr>
          <w:b/>
          <w:color w:val="333333"/>
          <w:sz w:val="28"/>
          <w:szCs w:val="28"/>
        </w:rPr>
        <w:t>7</w:t>
      </w:r>
      <w:r w:rsidRPr="00EE221E">
        <w:rPr>
          <w:color w:val="333333"/>
          <w:sz w:val="28"/>
          <w:szCs w:val="28"/>
        </w:rPr>
        <w:t xml:space="preserve">. </w:t>
      </w:r>
      <w:r w:rsidRPr="00EE221E">
        <w:rPr>
          <w:rFonts w:eastAsia="Times New Roman"/>
          <w:b/>
          <w:bCs/>
          <w:color w:val="333333"/>
          <w:sz w:val="28"/>
          <w:szCs w:val="28"/>
          <w:shd w:val="clear" w:color="auto" w:fill="FFFFFF"/>
        </w:rPr>
        <w:t>Информационная безопасность несовершеннолетних в сети «Интернет»</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В целях обеспечения информационной безопасности несовершеннолетних в Российской Федерации созданы законодательные гарантии и организационно-правовые механизмы защиты детей от информации, причиняющей вред их физическому, психическому, социальному, нравственному и духовному здоровью и развитию, в том числе от распространения печатной, аудио- и аудиовизуальной продукции, компьютерных игр, пропагандирующих насилие и жестокость, порнографию, антиобщественное поведение.</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Государственная политика в сфере защиты детей от информации, причиняющей вред их здоровью и развитию, осуществляется на основе принципов приоритетности прав и законных интересов детей, обеспечения государством их особой защиты (ст. 7, 38, 67 Конституции Российской Федерации).</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Федеральный закон от 29.12.2010 № 436-ФЗ «О защите детей от информации, причиняющей вред их здоровью и развитию» устанавливает правила медиа безопасности детей при обороте на территории Российской Федерации продукции СМИ, печатной, аудиовизуальной продукции на любых видах носителей, программ для компьютеров и баз данных, а также информации, размещаемой в информационно-телекоммуникационных сетях и сетях подвижной радиотелефонной связи.</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lastRenderedPageBreak/>
        <w:t>Кодекс Российской Федерации об административных правонарушениях содержит специальные составы правонарушений в сфере информационной безопасности детей:</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нарушение законодательства Российской Федерации о защите детей от информации, причиняющей вред их здоровью и (или) развитию (</w:t>
      </w:r>
      <w:r>
        <w:rPr>
          <w:color w:val="333333"/>
          <w:sz w:val="28"/>
          <w:szCs w:val="28"/>
        </w:rPr>
        <w:t>ст.  6.17 </w:t>
      </w:r>
      <w:r w:rsidRPr="00EE221E">
        <w:rPr>
          <w:color w:val="333333"/>
          <w:sz w:val="28"/>
          <w:szCs w:val="28"/>
        </w:rPr>
        <w:t xml:space="preserve">КоАП </w:t>
      </w:r>
      <w:r>
        <w:rPr>
          <w:color w:val="333333"/>
          <w:sz w:val="28"/>
          <w:szCs w:val="28"/>
        </w:rPr>
        <w:t>РФ</w:t>
      </w:r>
      <w:r w:rsidRPr="00EE221E">
        <w:rPr>
          <w:color w:val="333333"/>
          <w:sz w:val="28"/>
          <w:szCs w:val="28"/>
        </w:rPr>
        <w:t>);</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нарушение порядка изготовления или распространения продукции средства массовой информации (ст. 13.21 КоАП РФ);</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3)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 (ст. 13.41 КоАП РФ) и др.</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Также к административным мерам защиты детей от информации, причиняющей вред их здоровью и (или) развитию, относятся издание локальных актов, определяющих дополнительные требования к обороту информационной продукции, запрещенной для детей, и ее фрагментов, распространяемых в том числе посредством сети «Интернет», в местах, доступных для детей, включая образовательные организации в соответствии со ст. 13, 14 и 16 Федерального закона от 29.12.2010 № 436-ФЗ «О защите детей от информации, причиняющей вред их здоровью и развитию», которыми установлен запрет на распространение в предназначенных для детей образовательных организациях информационной продукции, содержащей запрещенную для детей информацию, меры защиты детей от информации, причиняющей вред их здоровью и (или) развитию.</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Вопросы обеспечения информационной безопасности в образовательной среде также урегулированы санитарными правилами СП</w:t>
      </w:r>
      <w:r>
        <w:rPr>
          <w:color w:val="333333"/>
          <w:sz w:val="28"/>
          <w:szCs w:val="28"/>
        </w:rPr>
        <w:t> </w:t>
      </w:r>
      <w:r w:rsidRPr="00EE221E">
        <w:rPr>
          <w:color w:val="333333"/>
          <w:sz w:val="28"/>
          <w:szCs w:val="28"/>
        </w:rPr>
        <w:t>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Так, согласно п. 3.5.3 указанных правил при реализации образовательных программ с применением дистанционных образовательных технологий и электронного обучения мобильные средства связи для образовательных целей не используются.</w:t>
      </w:r>
    </w:p>
    <w:p w:rsidR="00F426DF" w:rsidRPr="00EE221E" w:rsidRDefault="00F426DF" w:rsidP="00F426DF">
      <w:pPr>
        <w:pStyle w:val="a3"/>
        <w:shd w:val="clear" w:color="auto" w:fill="FFFFFF"/>
        <w:spacing w:before="0" w:beforeAutospacing="0" w:after="0" w:afterAutospacing="0"/>
        <w:ind w:firstLine="709"/>
        <w:jc w:val="both"/>
        <w:rPr>
          <w:rFonts w:eastAsia="Times New Roman"/>
          <w:b/>
          <w:bCs/>
          <w:color w:val="333333"/>
          <w:sz w:val="28"/>
          <w:szCs w:val="28"/>
          <w:shd w:val="clear" w:color="auto" w:fill="FFFFFF"/>
        </w:rPr>
      </w:pPr>
      <w:r w:rsidRPr="008C331F">
        <w:rPr>
          <w:b/>
          <w:color w:val="333333"/>
          <w:sz w:val="28"/>
          <w:szCs w:val="28"/>
        </w:rPr>
        <w:t>8.</w:t>
      </w:r>
      <w:r w:rsidRPr="008C331F">
        <w:rPr>
          <w:rFonts w:eastAsia="Times New Roman"/>
          <w:b/>
          <w:bCs/>
          <w:color w:val="333333"/>
          <w:sz w:val="28"/>
          <w:szCs w:val="28"/>
          <w:shd w:val="clear" w:color="auto" w:fill="FFFFFF"/>
        </w:rPr>
        <w:t xml:space="preserve"> </w:t>
      </w:r>
      <w:r>
        <w:rPr>
          <w:rFonts w:eastAsia="Times New Roman"/>
          <w:b/>
          <w:bCs/>
          <w:color w:val="333333"/>
          <w:sz w:val="28"/>
          <w:szCs w:val="28"/>
          <w:shd w:val="clear" w:color="auto" w:fill="FFFFFF"/>
        </w:rPr>
        <w:t>П</w:t>
      </w:r>
      <w:r w:rsidRPr="00EE221E">
        <w:rPr>
          <w:rFonts w:eastAsia="Times New Roman"/>
          <w:b/>
          <w:bCs/>
          <w:color w:val="333333"/>
          <w:sz w:val="28"/>
          <w:szCs w:val="28"/>
          <w:shd w:val="clear" w:color="auto" w:fill="FFFFFF"/>
        </w:rPr>
        <w:t>раво выбора лечащего врача</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Согласно Федеральному закону от 21.11.2011 № 323-ФЗ «Об основах охраны здоровья граждан в Российской Федерации» Вы имеете право на выбор лечащего врача. Так, в поликлинике, к которой вы прикреплены, можно выбрать врача, но не чаще чем один раз в год (за исключением случаев замены поликлиники). Вы можете просить о замене лечащего врача также при оказании специализированной медицинской помощи в стационарных условиях и в условиях дневного стационара.</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Можно выбрать:</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врача-терапевта, в том числе участкового;</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lastRenderedPageBreak/>
        <w:t>- врача-педиатра, в том числе участкового;</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врача общей практики (семейного врача) или фельдшера.</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Пока вы не выберете врача, первичную врачебную медико-санитарную помощь вам будут оказывать врачи, за которыми вы закрепляетесь без учета вашего желания. Участковый врач-терапевт формирует врачебный (терапевтический) участок из прикрепленного к нему населения и когда вы прикрепляетесь к поликлинике, врач вам назначается "по умолчанию".</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Если вы решили сменить лечащего врача, необходимо подать заявление в поликлинику. Заявление составляется в произвольной письменной форме на имя руководителя поликлиники, в нем указываются причины замены лечащего врача.</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Руководитель медицинской организации в течение трех рабочих дней со дня получения заявления должен проинформировать вас в письменной или устной форме (по почте, телефону, электронной почте) о врачах соответствующей специальности и сроках оказания медицинской помощи этими врачами.</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После получения информации выберите лечащего врача. При этом необходимо учитывать, что возложить на выбранного врача функции лечащего врача можно только с учетом его согласия.</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При выборе врача вы имеете право получать информацию в доступной форме, в том числе размещенную в сети Интернет, о врачах, об уровне их образования и квалификации. В частности, указанные сведения содержатся в федеральном регистре медицинских и фармацевтических работников.</w:t>
      </w:r>
    </w:p>
    <w:p w:rsidR="00F426DF" w:rsidRPr="00EE221E" w:rsidRDefault="00F426DF" w:rsidP="00F426DF">
      <w:pPr>
        <w:pStyle w:val="a3"/>
        <w:shd w:val="clear" w:color="auto" w:fill="FFFFFF"/>
        <w:spacing w:before="0" w:beforeAutospacing="0" w:after="0" w:afterAutospacing="0"/>
        <w:ind w:firstLine="709"/>
        <w:jc w:val="both"/>
        <w:rPr>
          <w:rFonts w:eastAsia="Times New Roman"/>
          <w:b/>
          <w:bCs/>
          <w:color w:val="333333"/>
          <w:sz w:val="28"/>
          <w:szCs w:val="28"/>
          <w:shd w:val="clear" w:color="auto" w:fill="FFFFFF"/>
        </w:rPr>
      </w:pPr>
      <w:r w:rsidRPr="008C331F">
        <w:rPr>
          <w:b/>
          <w:color w:val="333333"/>
          <w:sz w:val="28"/>
          <w:szCs w:val="28"/>
        </w:rPr>
        <w:t>9.</w:t>
      </w:r>
      <w:r w:rsidRPr="00EE221E">
        <w:rPr>
          <w:color w:val="333333"/>
          <w:sz w:val="28"/>
          <w:szCs w:val="28"/>
        </w:rPr>
        <w:t xml:space="preserve"> </w:t>
      </w:r>
      <w:r w:rsidRPr="00EE221E">
        <w:rPr>
          <w:rFonts w:eastAsia="Times New Roman"/>
          <w:b/>
          <w:bCs/>
          <w:color w:val="333333"/>
          <w:sz w:val="28"/>
          <w:szCs w:val="28"/>
          <w:shd w:val="clear" w:color="auto" w:fill="FFFFFF"/>
        </w:rPr>
        <w:t>Что будет, если не передавать показания счетчиков?</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Если вы передаете показания счетчиков, плату за коммунальные услуги рассчитывают по фактическому потреблению.</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Если не передавать показания счетчиков, то:</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в первые 3 месяца платы рассчитывают по вашему среднемесячному потреблению за последние 6 месяцев. Если счетчикам меньше 6 месяцев – за последние 3 месяца, если меньше 3 месяцев – по нормативу.</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по истечению 3 месяцев плату рассчитыва</w:t>
      </w:r>
      <w:bookmarkStart w:id="0" w:name="_GoBack"/>
      <w:bookmarkEnd w:id="0"/>
      <w:r w:rsidRPr="00EE221E">
        <w:rPr>
          <w:color w:val="333333"/>
          <w:sz w:val="28"/>
          <w:szCs w:val="28"/>
        </w:rPr>
        <w:t>ют по нормативу.</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если не передавать показания счетчиков 6 месяцев коммунальные службы обязаны в течение 15 дней провести проверку приборов учета и снять показания.</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После проверки, при условии, что счетчик исправен и пломбы не повреждены, должны сделать перерасчет. Если перерасчет в большую сторону – нужно доплатить. Если в меньшую – переплату вычтут из квартплаты за следующие месяцы.</w:t>
      </w:r>
    </w:p>
    <w:p w:rsidR="00F426DF" w:rsidRPr="00EE221E" w:rsidRDefault="00F426DF" w:rsidP="00F426DF">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Основание: постановление Правительства РФ от 06.05.2011 № 354.</w:t>
      </w:r>
    </w:p>
    <w:p w:rsidR="002603A5" w:rsidRDefault="008C331F"/>
    <w:sectPr w:rsidR="00260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412C5"/>
    <w:multiLevelType w:val="hybridMultilevel"/>
    <w:tmpl w:val="CEA8AA90"/>
    <w:lvl w:ilvl="0" w:tplc="C076289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B6"/>
    <w:rsid w:val="00023807"/>
    <w:rsid w:val="0079742E"/>
    <w:rsid w:val="008C331F"/>
    <w:rsid w:val="009B69B6"/>
    <w:rsid w:val="00F42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2421"/>
  <w15:chartTrackingRefBased/>
  <w15:docId w15:val="{2F8F5E52-2DF9-4479-AFFB-DACAF3B8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26DF"/>
    <w:pPr>
      <w:spacing w:before="100" w:beforeAutospacing="1" w:after="100" w:afterAutospacing="1" w:line="240" w:lineRule="auto"/>
    </w:pPr>
    <w:rPr>
      <w:rFonts w:ascii="Times New Roman" w:eastAsiaTheme="minorEastAsia" w:hAnsi="Times New Roman" w:cs="Times New Roman"/>
      <w:kern w:val="2"/>
      <w:sz w:val="24"/>
      <w:szCs w:val="24"/>
      <w:lang w:eastAsia="ru-RU"/>
      <w14:ligatures w14:val="standardContextual"/>
    </w:rPr>
  </w:style>
  <w:style w:type="character" w:styleId="a4">
    <w:name w:val="Emphasis"/>
    <w:basedOn w:val="a0"/>
    <w:uiPriority w:val="20"/>
    <w:qFormat/>
    <w:rsid w:val="00F426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2641</Words>
  <Characters>15055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Сунцов Георгий Александрович</dc:creator>
  <cp:keywords/>
  <dc:description/>
  <cp:lastModifiedBy>Сунцов Георгий Александрович</cp:lastModifiedBy>
  <cp:revision>3</cp:revision>
  <dcterms:created xsi:type="dcterms:W3CDTF">2023-10-02T05:43:00Z</dcterms:created>
  <dcterms:modified xsi:type="dcterms:W3CDTF">2023-10-02T06:18:00Z</dcterms:modified>
</cp:coreProperties>
</file>