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8C" w:rsidRDefault="00D62AC4" w:rsidP="00E449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t xml:space="preserve">Приложение № </w:t>
      </w:r>
      <w:r w:rsidR="004C67F8">
        <w:t>2</w:t>
      </w:r>
      <w:r>
        <w:br/>
        <w:t>к приказу от</w:t>
      </w:r>
      <w:r w:rsidR="00BD7870">
        <w:t xml:space="preserve"> 10.08.2021</w:t>
      </w:r>
      <w:r>
        <w:t xml:space="preserve">  №</w:t>
      </w:r>
      <w:r w:rsidR="00CE62C0">
        <w:t xml:space="preserve"> </w:t>
      </w:r>
      <w:r w:rsidR="00BD7870">
        <w:t>29</w:t>
      </w:r>
      <w:bookmarkStart w:id="0" w:name="_GoBack"/>
      <w:bookmarkEnd w:id="0"/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62AC4" w:rsidRDefault="00D62AC4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62AC4" w:rsidRDefault="00D62AC4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bookmarkStart w:id="1" w:name="Par6603"/>
      <w:bookmarkEnd w:id="1"/>
      <w:r>
        <w:rPr>
          <w:rFonts w:cs="Calibri"/>
          <w:b/>
          <w:bCs/>
        </w:rPr>
        <w:t>Учетная политика МУ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b/>
          <w:bCs/>
        </w:rPr>
        <w:t>"</w:t>
      </w:r>
      <w:r w:rsidRPr="00682EA4">
        <w:rPr>
          <w:rFonts w:cs="Calibri"/>
        </w:rPr>
        <w:t xml:space="preserve"> </w:t>
      </w:r>
      <w:r w:rsidRPr="00682EA4">
        <w:rPr>
          <w:rFonts w:cs="Calibri"/>
          <w:b/>
        </w:rPr>
        <w:t>Управление культуры и молодежной политики</w:t>
      </w:r>
      <w:r>
        <w:rPr>
          <w:rFonts w:cs="Calibri"/>
          <w:b/>
          <w:bCs/>
        </w:rPr>
        <w:t xml:space="preserve"> "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b/>
          <w:bCs/>
        </w:rPr>
        <w:t>для целей налогообложения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bookmarkStart w:id="2" w:name="Par6607"/>
      <w:bookmarkEnd w:id="2"/>
      <w:r>
        <w:rPr>
          <w:rFonts w:cs="Calibri"/>
          <w:b/>
          <w:bCs/>
        </w:rPr>
        <w:t>I. Организационная часть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 Ответственным за постановку и ведение налогового учета в учреждении является главный бухгалтер учреждения. Ведение налогового учета в учреждении осуществляет бухгалтерия учреждения.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4" w:history="1">
        <w:r>
          <w:rPr>
            <w:rFonts w:cs="Calibri"/>
            <w:i/>
            <w:iCs/>
            <w:color w:val="0000FF"/>
          </w:rPr>
          <w:t>ст. 313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2. Учреждение применяет общую систему налогообложения.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5" w:history="1">
        <w:r>
          <w:rPr>
            <w:rFonts w:cs="Calibri"/>
            <w:i/>
            <w:iCs/>
            <w:color w:val="0000FF"/>
          </w:rPr>
          <w:t>ст. 313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3. Налоговый учет в учреждении ведется вручную </w:t>
      </w:r>
      <w:proofErr w:type="gramStart"/>
      <w:r>
        <w:rPr>
          <w:rFonts w:cs="Calibri"/>
        </w:rPr>
        <w:t>и  автоматизированным</w:t>
      </w:r>
      <w:proofErr w:type="gramEnd"/>
      <w:r>
        <w:rPr>
          <w:rFonts w:cs="Calibri"/>
        </w:rPr>
        <w:t xml:space="preserve"> способом с применением программы «Бюджет-КС», «Зарплата-КС»</w:t>
      </w:r>
      <w:r w:rsidR="00D62AC4">
        <w:rPr>
          <w:rFonts w:cs="Calibri"/>
        </w:rPr>
        <w:t>, «Смета-СМАРТ»</w:t>
      </w:r>
      <w:r>
        <w:rPr>
          <w:rFonts w:cs="Calibri"/>
        </w:rPr>
        <w:t>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6" w:history="1">
        <w:r>
          <w:rPr>
            <w:rFonts w:cs="Calibri"/>
            <w:i/>
            <w:iCs/>
            <w:color w:val="0000FF"/>
          </w:rPr>
          <w:t>ст. 313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4. Регистры налогового учета ведутся на основе данных бухгалтерского учета. В качестве регистров налогового учета используются регистры, приведенные в </w:t>
      </w:r>
      <w:hyperlink w:anchor="Par6795" w:history="1">
        <w:r>
          <w:rPr>
            <w:rFonts w:cs="Calibri"/>
            <w:color w:val="0000FF"/>
          </w:rPr>
          <w:t>Приложении</w:t>
        </w:r>
      </w:hyperlink>
      <w:r>
        <w:t xml:space="preserve"> № __</w:t>
      </w:r>
      <w:r>
        <w:rPr>
          <w:rFonts w:cs="Calibri"/>
        </w:rPr>
        <w:t xml:space="preserve"> к настоящей Учетной политике.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7" w:history="1">
        <w:r>
          <w:rPr>
            <w:rFonts w:cs="Calibri"/>
            <w:i/>
            <w:iCs/>
            <w:color w:val="0000FF"/>
          </w:rPr>
          <w:t>ст. 314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5. Налоговые регистры на бумажных носителях формируются учреждением ежеквартально.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8" w:history="1">
        <w:r>
          <w:rPr>
            <w:rFonts w:cs="Calibri"/>
            <w:i/>
            <w:iCs/>
            <w:color w:val="0000FF"/>
          </w:rPr>
          <w:t>ст. 314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6. Учреждением используется электронный способ представления налоговой отчетности в налоговые органы по телекоммуникационным каналам связи.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9" w:history="1">
        <w:r>
          <w:rPr>
            <w:rFonts w:cs="Calibri"/>
            <w:i/>
            <w:iCs/>
            <w:color w:val="0000FF"/>
          </w:rPr>
          <w:t>ст. 80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bookmarkStart w:id="3" w:name="Par6630"/>
      <w:bookmarkEnd w:id="3"/>
      <w:r>
        <w:rPr>
          <w:rFonts w:cs="Calibri"/>
          <w:b/>
          <w:bCs/>
        </w:rPr>
        <w:t>II. Методическая часть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1. Налог на прибыль </w:t>
      </w:r>
      <w:proofErr w:type="gramStart"/>
      <w:r>
        <w:rPr>
          <w:rFonts w:cs="Calibri"/>
        </w:rPr>
        <w:t xml:space="preserve">организаций </w:t>
      </w:r>
      <w:hyperlink w:anchor="Par6640" w:history="1">
        <w:r>
          <w:rPr>
            <w:rFonts w:cs="Calibri"/>
            <w:color w:val="0000FF"/>
          </w:rPr>
          <w:t>&gt;</w:t>
        </w:r>
        <w:proofErr w:type="gramEnd"/>
        <w:r>
          <w:rPr>
            <w:rFonts w:cs="Calibri"/>
            <w:color w:val="0000FF"/>
          </w:rPr>
          <w:t>&gt;&gt;</w:t>
        </w:r>
      </w:hyperlink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2. Налог на добавленную стоимость (НДС</w:t>
      </w:r>
      <w:proofErr w:type="gramStart"/>
      <w:r>
        <w:rPr>
          <w:rFonts w:cs="Calibri"/>
        </w:rPr>
        <w:t xml:space="preserve">) </w:t>
      </w:r>
      <w:hyperlink w:anchor="Par6713" w:history="1">
        <w:r>
          <w:rPr>
            <w:rFonts w:cs="Calibri"/>
            <w:color w:val="0000FF"/>
          </w:rPr>
          <w:t>&gt;</w:t>
        </w:r>
        <w:proofErr w:type="gramEnd"/>
        <w:r>
          <w:rPr>
            <w:rFonts w:cs="Calibri"/>
            <w:color w:val="0000FF"/>
          </w:rPr>
          <w:t>&gt;&gt;</w:t>
        </w:r>
      </w:hyperlink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3. Налог на доходы физических лиц (НДФЛ</w:t>
      </w:r>
      <w:proofErr w:type="gramStart"/>
      <w:r>
        <w:rPr>
          <w:rFonts w:cs="Calibri"/>
        </w:rPr>
        <w:t xml:space="preserve">) </w:t>
      </w:r>
      <w:hyperlink w:anchor="Par6756" w:history="1">
        <w:r>
          <w:rPr>
            <w:rFonts w:cs="Calibri"/>
            <w:color w:val="0000FF"/>
          </w:rPr>
          <w:t>&gt;</w:t>
        </w:r>
        <w:proofErr w:type="gramEnd"/>
        <w:r>
          <w:rPr>
            <w:rFonts w:cs="Calibri"/>
            <w:color w:val="0000FF"/>
          </w:rPr>
          <w:t>&gt;&gt;</w:t>
        </w:r>
      </w:hyperlink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4. Страховые </w:t>
      </w:r>
      <w:proofErr w:type="gramStart"/>
      <w:r>
        <w:rPr>
          <w:rFonts w:cs="Calibri"/>
        </w:rPr>
        <w:t xml:space="preserve">взносы </w:t>
      </w:r>
      <w:hyperlink w:anchor="Par6766" w:history="1">
        <w:r>
          <w:rPr>
            <w:rFonts w:cs="Calibri"/>
            <w:color w:val="0000FF"/>
          </w:rPr>
          <w:t>&gt;</w:t>
        </w:r>
        <w:proofErr w:type="gramEnd"/>
        <w:r>
          <w:rPr>
            <w:rFonts w:cs="Calibri"/>
            <w:color w:val="0000FF"/>
          </w:rPr>
          <w:t>&gt;&gt;</w:t>
        </w:r>
      </w:hyperlink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5. Налог на имущество </w:t>
      </w:r>
      <w:proofErr w:type="gramStart"/>
      <w:r>
        <w:rPr>
          <w:rFonts w:cs="Calibri"/>
        </w:rPr>
        <w:t xml:space="preserve">организаций </w:t>
      </w:r>
      <w:hyperlink w:anchor="Par6781" w:history="1">
        <w:r>
          <w:rPr>
            <w:rFonts w:cs="Calibri"/>
            <w:color w:val="0000FF"/>
          </w:rPr>
          <w:t>&gt;</w:t>
        </w:r>
        <w:proofErr w:type="gramEnd"/>
        <w:r>
          <w:rPr>
            <w:rFonts w:cs="Calibri"/>
            <w:color w:val="0000FF"/>
          </w:rPr>
          <w:t>&gt;&gt;</w:t>
        </w:r>
      </w:hyperlink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4" w:name="Par6640"/>
      <w:bookmarkEnd w:id="4"/>
      <w:r>
        <w:rPr>
          <w:rFonts w:cs="Calibri"/>
          <w:b/>
          <w:bCs/>
        </w:rPr>
        <w:t>1. Налог на прибыль организаций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1.1. Учреждение определяет доходы и расходы кассовым методом.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10" w:history="1">
        <w:r>
          <w:rPr>
            <w:rFonts w:cs="Calibri"/>
            <w:i/>
            <w:iCs/>
            <w:color w:val="0000FF"/>
          </w:rPr>
          <w:t xml:space="preserve">ст. </w:t>
        </w:r>
      </w:hyperlink>
      <w:hyperlink r:id="rId11" w:history="1">
        <w:r>
          <w:rPr>
            <w:rFonts w:cs="Calibri"/>
            <w:i/>
            <w:iCs/>
            <w:color w:val="0000FF"/>
          </w:rPr>
          <w:t>273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1.2. К прямым расходам относятся: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расходы на оплату труда работников учреждения, непосредственно участвующих в оказании услуги (выполнении работы, изготовлении продукции), а также начисления на выплаты по оплате труда;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- материальные запасы, определяемые в соответствии с </w:t>
      </w:r>
      <w:hyperlink r:id="rId12" w:history="1">
        <w:proofErr w:type="spellStart"/>
        <w:r>
          <w:rPr>
            <w:rFonts w:cs="Calibri"/>
            <w:color w:val="0000FF"/>
          </w:rPr>
          <w:t>пп</w:t>
        </w:r>
        <w:proofErr w:type="spellEnd"/>
        <w:r>
          <w:rPr>
            <w:rFonts w:cs="Calibri"/>
            <w:color w:val="0000FF"/>
          </w:rPr>
          <w:t>. 1</w:t>
        </w:r>
      </w:hyperlink>
      <w:r>
        <w:rPr>
          <w:rFonts w:cs="Calibri"/>
        </w:rPr>
        <w:t xml:space="preserve"> и </w:t>
      </w:r>
      <w:hyperlink r:id="rId13" w:history="1">
        <w:r>
          <w:rPr>
            <w:rFonts w:cs="Calibri"/>
            <w:color w:val="0000FF"/>
          </w:rPr>
          <w:t>4 п. 1 ст. 254</w:t>
        </w:r>
      </w:hyperlink>
      <w:r>
        <w:rPr>
          <w:rFonts w:cs="Calibri"/>
        </w:rPr>
        <w:t xml:space="preserve"> НК РФ;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- суммы начисленной амортизации по основным средствам, приобретенным за счет </w:t>
      </w:r>
      <w:r>
        <w:rPr>
          <w:rFonts w:cs="Calibri"/>
        </w:rPr>
        <w:lastRenderedPageBreak/>
        <w:t>приносящей доход деятельности и используемым исключительно в указанной деятельности.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14" w:history="1">
        <w:r>
          <w:rPr>
            <w:rFonts w:cs="Calibri"/>
            <w:i/>
            <w:iCs/>
            <w:color w:val="0000FF"/>
          </w:rPr>
          <w:t>п. 1 ст. 318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1.3. Прямые расходы, связанные с оказанием услуг, относятся в полном объеме на уменьшение дохода.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15" w:history="1">
        <w:proofErr w:type="spellStart"/>
        <w:r>
          <w:rPr>
            <w:rFonts w:cs="Calibri"/>
            <w:i/>
            <w:iCs/>
            <w:color w:val="0000FF"/>
          </w:rPr>
          <w:t>абз</w:t>
        </w:r>
        <w:proofErr w:type="spellEnd"/>
        <w:r>
          <w:rPr>
            <w:rFonts w:cs="Calibri"/>
            <w:i/>
            <w:iCs/>
            <w:color w:val="0000FF"/>
          </w:rPr>
          <w:t>. 3 п. 2 ст. 318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1.4. Амортизируемым имуществом признается имущество со сроком полезного использования более 12 месяцев и первоначальной стоимостью более 40 000 руб.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16" w:history="1">
        <w:r>
          <w:rPr>
            <w:rFonts w:cs="Calibri"/>
            <w:i/>
            <w:iCs/>
            <w:color w:val="0000FF"/>
          </w:rPr>
          <w:t>п. 1 ст. 252</w:t>
        </w:r>
      </w:hyperlink>
      <w:r>
        <w:rPr>
          <w:rFonts w:cs="Calibri"/>
          <w:i/>
          <w:iCs/>
        </w:rPr>
        <w:t xml:space="preserve">, </w:t>
      </w:r>
      <w:hyperlink r:id="rId17" w:history="1">
        <w:r>
          <w:rPr>
            <w:rFonts w:cs="Calibri"/>
            <w:i/>
            <w:iCs/>
            <w:color w:val="0000FF"/>
          </w:rPr>
          <w:t>п. 1 ст. 256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1.5. Срок полезного использования объекта основных средств определяется комиссией по поступлению и выбытию активов на основании </w:t>
      </w:r>
      <w:hyperlink r:id="rId18" w:history="1">
        <w:r>
          <w:rPr>
            <w:rFonts w:cs="Calibri"/>
            <w:color w:val="0000FF"/>
          </w:rPr>
          <w:t>Классификации</w:t>
        </w:r>
      </w:hyperlink>
      <w:r>
        <w:rPr>
          <w:rFonts w:cs="Calibri"/>
        </w:rPr>
        <w:t xml:space="preserve"> основных средств, включаемых в амортизационные группы, утвержденной Постановлением Правительства РФ от 01.01.2002 N 1, по максимальным срокам полезного использования, установленным для данного объекта.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Для основных средств, не указанных в Классификации основных средств, срок полезного использования устанавливается комиссией в соответствии с техническими условиями или рекомендациями изготовителей.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19" w:history="1">
        <w:r>
          <w:rPr>
            <w:rFonts w:cs="Calibri"/>
            <w:i/>
            <w:iCs/>
            <w:color w:val="0000FF"/>
          </w:rPr>
          <w:t>п. п. 1</w:t>
        </w:r>
      </w:hyperlink>
      <w:r>
        <w:rPr>
          <w:rFonts w:cs="Calibri"/>
          <w:i/>
          <w:iCs/>
        </w:rPr>
        <w:t xml:space="preserve">, </w:t>
      </w:r>
      <w:hyperlink r:id="rId20" w:history="1">
        <w:r>
          <w:rPr>
            <w:rFonts w:cs="Calibri"/>
            <w:i/>
            <w:iCs/>
            <w:color w:val="0000FF"/>
          </w:rPr>
          <w:t>6 ст. 258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1.6. Начисление амортизации по всем объектам амортизируемого имущества производится линейным методом. Амортизация начисляется отдельно по каждому объекту амортизируемого имущества.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1" w:history="1">
        <w:proofErr w:type="spellStart"/>
        <w:r>
          <w:rPr>
            <w:rFonts w:cs="Calibri"/>
            <w:i/>
            <w:iCs/>
            <w:color w:val="0000FF"/>
          </w:rPr>
          <w:t>пп</w:t>
        </w:r>
        <w:proofErr w:type="spellEnd"/>
        <w:r>
          <w:rPr>
            <w:rFonts w:cs="Calibri"/>
            <w:i/>
            <w:iCs/>
            <w:color w:val="0000FF"/>
          </w:rPr>
          <w:t>. 1 п. 1</w:t>
        </w:r>
      </w:hyperlink>
      <w:r>
        <w:rPr>
          <w:rFonts w:cs="Calibri"/>
          <w:i/>
          <w:iCs/>
        </w:rPr>
        <w:t xml:space="preserve">, </w:t>
      </w:r>
      <w:hyperlink r:id="rId22" w:history="1">
        <w:r>
          <w:rPr>
            <w:rFonts w:cs="Calibri"/>
            <w:i/>
            <w:iCs/>
            <w:color w:val="0000FF"/>
          </w:rPr>
          <w:t>п. 3 ст. 259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1.7. По всем объектам амортизируемого имущества амортизация начисляется по основным нормам амортизации без применения повышающих и понижающих коэффициентов.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3" w:history="1">
        <w:r>
          <w:rPr>
            <w:rFonts w:cs="Calibri"/>
            <w:i/>
            <w:iCs/>
            <w:color w:val="0000FF"/>
          </w:rPr>
          <w:t>п. 4 ст. 259.3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1.8. Право по начислению амортизационной премии учреждением не используется.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4" w:history="1">
        <w:r>
          <w:rPr>
            <w:rFonts w:cs="Calibri"/>
            <w:i/>
            <w:iCs/>
            <w:color w:val="0000FF"/>
          </w:rPr>
          <w:t>п. 9 ст. 258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1.9. По приобретаемым основным средствам, бывшим в эксплуатации, норма амортизации определяется с учетом срока эксплуатации имущества предыдущими собственниками.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5" w:history="1">
        <w:r>
          <w:rPr>
            <w:rFonts w:cs="Calibri"/>
            <w:i/>
            <w:iCs/>
            <w:color w:val="0000FF"/>
          </w:rPr>
          <w:t>п. 7 ст. 258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1.10. В случае реконструкции, модернизации, технического перевооружения увеличение срока полезного использования не производится.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6" w:history="1">
        <w:r>
          <w:rPr>
            <w:rFonts w:cs="Calibri"/>
            <w:i/>
            <w:iCs/>
            <w:color w:val="0000FF"/>
          </w:rPr>
          <w:t>п. 1 ст. 258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1.11. Расходы на капитальный и текущий ремонт основных средств признаются единовременно в качестве прочих расходов, связанных с производством, в том отчетном (налоговом) периоде, в котором они были осуществлены, в размере фактических затрат на основании актов выполненных работ.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7" w:history="1">
        <w:r>
          <w:rPr>
            <w:rFonts w:cs="Calibri"/>
            <w:i/>
            <w:iCs/>
            <w:color w:val="0000FF"/>
          </w:rPr>
          <w:t>п. 9 ст. 258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1.12. При определении размера материальных расходов при списании сырья и материалов, используемых при оказании услуг, выполнении работ, производстве (изготовлении) товаров, применяется метод оценки по стоимости единицы материалов.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8" w:history="1">
        <w:r>
          <w:rPr>
            <w:rFonts w:cs="Calibri"/>
            <w:i/>
            <w:iCs/>
            <w:color w:val="0000FF"/>
          </w:rPr>
          <w:t>п. 8 ст. 254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1.13. Стоимость приобретения покупных товаров формируется с учетом расходов, связанных с их приобретением, которые являются прямыми расходами учреждения.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29" w:history="1">
        <w:r>
          <w:rPr>
            <w:rFonts w:cs="Calibri"/>
            <w:i/>
            <w:iCs/>
            <w:color w:val="0000FF"/>
          </w:rPr>
          <w:t>ст. 320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1.14. Расходы на оплату труда включают начисления работникам, предусмотренные нормами законодательства, трудовыми договорами, положением об оплате труда, положением о премировании.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30" w:history="1">
        <w:r>
          <w:rPr>
            <w:rFonts w:cs="Calibri"/>
            <w:i/>
            <w:iCs/>
            <w:color w:val="0000FF"/>
          </w:rPr>
          <w:t>ст. 255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1.15. В учреждении не создаются резервы для целей налогообложения.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1.16. Отчетными периодами по налогу на прибыль признаются первый квартал, полугодие и девять месяцев календарного года.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31" w:history="1">
        <w:r>
          <w:rPr>
            <w:rFonts w:cs="Calibri"/>
            <w:i/>
            <w:iCs/>
            <w:color w:val="0000FF"/>
          </w:rPr>
          <w:t>п. 2 ст. 285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Pr="00B642E6" w:rsidRDefault="00E4498C" w:rsidP="00E4498C">
      <w:pPr>
        <w:autoSpaceDE w:val="0"/>
        <w:autoSpaceDN w:val="0"/>
        <w:adjustRightInd w:val="0"/>
        <w:ind w:left="300" w:firstLine="240"/>
        <w:jc w:val="both"/>
        <w:rPr>
          <w:rFonts w:ascii="Times New Roman" w:hAnsi="Times New Roman"/>
        </w:rPr>
      </w:pPr>
      <w:r>
        <w:rPr>
          <w:rFonts w:cs="Calibri"/>
        </w:rPr>
        <w:t xml:space="preserve">1.17. </w:t>
      </w:r>
      <w:r w:rsidRPr="00B642E6">
        <w:rPr>
          <w:rFonts w:ascii="Times New Roman" w:hAnsi="Times New Roman"/>
        </w:rPr>
        <w:t>Финансовое обеспечение деятельности казенного учреждения осуществляется за счет средств местного бюджета бюджетной системы РФ на основании бюджетной сметы</w:t>
      </w:r>
      <w:r>
        <w:rPr>
          <w:rFonts w:ascii="Times New Roman" w:hAnsi="Times New Roman"/>
        </w:rPr>
        <w:t xml:space="preserve">. </w:t>
      </w:r>
      <w:r>
        <w:rPr>
          <w:rFonts w:cs="Calibri"/>
          <w:i/>
          <w:iCs/>
        </w:rPr>
        <w:t xml:space="preserve">(Основание: </w:t>
      </w:r>
      <w:hyperlink r:id="rId32" w:history="1">
        <w:r>
          <w:rPr>
            <w:rFonts w:cs="Calibri"/>
            <w:i/>
            <w:iCs/>
            <w:color w:val="0000FF"/>
          </w:rPr>
          <w:t xml:space="preserve">п. 2 ст. </w:t>
        </w:r>
      </w:hyperlink>
      <w:r>
        <w:t>161</w:t>
      </w:r>
      <w:r>
        <w:rPr>
          <w:rFonts w:cs="Calibri"/>
          <w:i/>
          <w:iCs/>
        </w:rPr>
        <w:t xml:space="preserve"> БК РФ)</w:t>
      </w:r>
    </w:p>
    <w:p w:rsidR="00E4498C" w:rsidRDefault="00E4498C" w:rsidP="00E4498C">
      <w:pPr>
        <w:pStyle w:val="a3"/>
        <w:ind w:firstLine="567"/>
        <w:rPr>
          <w:rFonts w:cs="Calibri"/>
          <w:i/>
          <w:iCs/>
        </w:rPr>
      </w:pPr>
      <w:r w:rsidRPr="002131F5">
        <w:rPr>
          <w:rFonts w:ascii="Times New Roman" w:hAnsi="Times New Roman"/>
        </w:rPr>
        <w:t>При исчислении налога на прибыль данные средства не учитываются согласно.</w:t>
      </w:r>
      <w:r>
        <w:t xml:space="preserve">                                                                                                                         </w:t>
      </w:r>
      <w:r w:rsidRPr="00B642E6">
        <w:rPr>
          <w:rFonts w:cs="Calibri"/>
          <w:i/>
          <w:iCs/>
        </w:rPr>
        <w:t xml:space="preserve"> </w:t>
      </w:r>
      <w:r>
        <w:rPr>
          <w:rFonts w:cs="Calibri"/>
          <w:i/>
          <w:iCs/>
        </w:rPr>
        <w:t xml:space="preserve">  </w:t>
      </w:r>
    </w:p>
    <w:p w:rsidR="00E4498C" w:rsidRDefault="00E4498C" w:rsidP="00E4498C">
      <w:pPr>
        <w:pStyle w:val="a3"/>
        <w:ind w:firstLine="567"/>
      </w:pPr>
      <w:r>
        <w:rPr>
          <w:rFonts w:cs="Calibri"/>
          <w:i/>
          <w:iCs/>
        </w:rPr>
        <w:t xml:space="preserve">(Основание: </w:t>
      </w:r>
      <w:hyperlink r:id="rId33" w:history="1">
        <w:proofErr w:type="spellStart"/>
        <w:r>
          <w:rPr>
            <w:rFonts w:cs="Calibri"/>
            <w:i/>
            <w:iCs/>
            <w:color w:val="0000FF"/>
          </w:rPr>
          <w:t>пп</w:t>
        </w:r>
        <w:proofErr w:type="spellEnd"/>
        <w:r>
          <w:rPr>
            <w:rFonts w:cs="Calibri"/>
            <w:i/>
            <w:iCs/>
            <w:color w:val="0000FF"/>
          </w:rPr>
          <w:t>. 14 п. 1 ст. 251</w:t>
        </w:r>
      </w:hyperlink>
      <w:r>
        <w:rPr>
          <w:rFonts w:cs="Calibri"/>
          <w:i/>
          <w:iCs/>
        </w:rPr>
        <w:t xml:space="preserve"> НК РФ)</w:t>
      </w:r>
    </w:p>
    <w:p w:rsidR="00E4498C" w:rsidRPr="002131F5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2131F5">
        <w:rPr>
          <w:rFonts w:ascii="Times New Roman" w:hAnsi="Times New Roman"/>
        </w:rPr>
        <w:t>Доходы, полученные учреждением от оказания государственных услуг, а также расходы, произведенные им в связи с оказанием этих услуг</w:t>
      </w:r>
      <w:r>
        <w:rPr>
          <w:rFonts w:ascii="Times New Roman" w:hAnsi="Times New Roman"/>
        </w:rPr>
        <w:t xml:space="preserve"> </w:t>
      </w:r>
      <w:r w:rsidRPr="002131F5">
        <w:rPr>
          <w:rFonts w:ascii="Times New Roman" w:hAnsi="Times New Roman"/>
        </w:rPr>
        <w:t>(работ) не учитываются при исчислении налога на прибыль.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34" w:history="1">
        <w:proofErr w:type="spellStart"/>
        <w:r>
          <w:rPr>
            <w:rFonts w:cs="Calibri"/>
            <w:i/>
            <w:iCs/>
            <w:color w:val="0000FF"/>
          </w:rPr>
          <w:t>пп</w:t>
        </w:r>
        <w:proofErr w:type="spellEnd"/>
        <w:r>
          <w:rPr>
            <w:rFonts w:cs="Calibri"/>
            <w:i/>
            <w:iCs/>
            <w:color w:val="0000FF"/>
          </w:rPr>
          <w:t>. 33.1 ст. 251,</w:t>
        </w:r>
      </w:hyperlink>
      <w:r w:rsidRPr="00B642E6">
        <w:t xml:space="preserve"> </w:t>
      </w:r>
      <w:r w:rsidRPr="00B642E6">
        <w:rPr>
          <w:i/>
        </w:rPr>
        <w:t xml:space="preserve">п. </w:t>
      </w:r>
      <w:r>
        <w:rPr>
          <w:i/>
        </w:rPr>
        <w:t>48</w:t>
      </w:r>
      <w:r w:rsidRPr="00B642E6">
        <w:rPr>
          <w:i/>
        </w:rPr>
        <w:t>.</w:t>
      </w:r>
      <w:r>
        <w:rPr>
          <w:i/>
        </w:rPr>
        <w:t>1</w:t>
      </w:r>
      <w:r w:rsidRPr="00B642E6">
        <w:rPr>
          <w:i/>
        </w:rPr>
        <w:t xml:space="preserve">1 ст. </w:t>
      </w:r>
      <w:proofErr w:type="gramStart"/>
      <w:r w:rsidRPr="00B642E6">
        <w:rPr>
          <w:i/>
        </w:rPr>
        <w:t>2</w:t>
      </w:r>
      <w:r>
        <w:rPr>
          <w:i/>
        </w:rPr>
        <w:t>70</w:t>
      </w:r>
      <w:r>
        <w:t xml:space="preserve"> </w:t>
      </w:r>
      <w:r>
        <w:rPr>
          <w:rFonts w:cs="Calibri"/>
          <w:i/>
          <w:iCs/>
        </w:rPr>
        <w:t xml:space="preserve"> НК</w:t>
      </w:r>
      <w:proofErr w:type="gramEnd"/>
      <w:r>
        <w:rPr>
          <w:rFonts w:cs="Calibri"/>
          <w:i/>
          <w:iCs/>
        </w:rPr>
        <w:t xml:space="preserve">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5" w:name="Par6713"/>
      <w:bookmarkEnd w:id="5"/>
      <w:r>
        <w:rPr>
          <w:rFonts w:cs="Calibri"/>
          <w:b/>
          <w:bCs/>
        </w:rPr>
        <w:t>2. Налог на добавленную стоимость (НДС)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Pr="00F378F3" w:rsidRDefault="00E4498C" w:rsidP="00E4498C">
      <w:pPr>
        <w:ind w:firstLine="567"/>
        <w:rPr>
          <w:rFonts w:ascii="Times New Roman" w:hAnsi="Times New Roman"/>
        </w:rPr>
      </w:pPr>
      <w:r w:rsidRPr="00F378F3">
        <w:rPr>
          <w:rFonts w:ascii="Times New Roman" w:hAnsi="Times New Roman"/>
        </w:rPr>
        <w:t>2.</w:t>
      </w:r>
      <w:r>
        <w:rPr>
          <w:rFonts w:ascii="Times New Roman" w:hAnsi="Times New Roman"/>
        </w:rPr>
        <w:t>1</w:t>
      </w:r>
      <w:r w:rsidRPr="00F378F3">
        <w:rPr>
          <w:rFonts w:ascii="Times New Roman" w:hAnsi="Times New Roman"/>
        </w:rPr>
        <w:t xml:space="preserve">. Согласно п.1 ст.145 НК РФ учреждение освобождается от уплаты налога, если за три предшествующих последовательных </w:t>
      </w:r>
      <w:proofErr w:type="gramStart"/>
      <w:r w:rsidRPr="00F378F3">
        <w:rPr>
          <w:rFonts w:ascii="Times New Roman" w:hAnsi="Times New Roman"/>
        </w:rPr>
        <w:t>календарных  месяца</w:t>
      </w:r>
      <w:proofErr w:type="gramEnd"/>
      <w:r w:rsidRPr="00F378F3">
        <w:rPr>
          <w:rFonts w:ascii="Times New Roman" w:hAnsi="Times New Roman"/>
        </w:rPr>
        <w:t xml:space="preserve"> сумма выручки от реализации товаров, работ, услуг не превысила в совокупности 2 000 000.00 рублей.</w:t>
      </w:r>
    </w:p>
    <w:p w:rsidR="00E4498C" w:rsidRPr="00F378F3" w:rsidRDefault="00E4498C" w:rsidP="00E4498C">
      <w:pPr>
        <w:ind w:firstLine="567"/>
        <w:rPr>
          <w:rFonts w:ascii="Times New Roman" w:hAnsi="Times New Roman"/>
        </w:rPr>
      </w:pPr>
      <w:r w:rsidRPr="00F378F3">
        <w:rPr>
          <w:rFonts w:ascii="Times New Roman" w:hAnsi="Times New Roman"/>
        </w:rPr>
        <w:t>2.</w:t>
      </w:r>
      <w:r>
        <w:rPr>
          <w:rFonts w:ascii="Times New Roman" w:hAnsi="Times New Roman"/>
        </w:rPr>
        <w:t>2</w:t>
      </w:r>
      <w:r w:rsidRPr="00F378F3">
        <w:rPr>
          <w:rFonts w:ascii="Times New Roman" w:hAnsi="Times New Roman"/>
        </w:rPr>
        <w:t>. Суммы НДС, предъявляемые продавцами, по товарам (работам, услугам) в том числе основным средствам и нематериальным активам, имущественным правам, используемым для осуществления как облагаемых налогом, так и не подлежащих налогообложению (освобождение от налогообложения) операций, учитывать в следующем порядке:</w:t>
      </w:r>
    </w:p>
    <w:p w:rsidR="00E4498C" w:rsidRPr="00F378F3" w:rsidRDefault="00E4498C" w:rsidP="00E4498C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378F3">
        <w:rPr>
          <w:rFonts w:ascii="Times New Roman" w:hAnsi="Times New Roman"/>
        </w:rPr>
        <w:t>принимать к вычету в части, в которой такие товары используются для производства и (или) реализации товаров (работ, услуг), имущественных прав, операции по реализации которых подлежат налогообложению;</w:t>
      </w:r>
    </w:p>
    <w:p w:rsidR="00E4498C" w:rsidRPr="00F378F3" w:rsidRDefault="00E4498C" w:rsidP="00E4498C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 w:rsidRPr="00F378F3">
        <w:rPr>
          <w:rFonts w:ascii="Times New Roman" w:hAnsi="Times New Roman"/>
        </w:rPr>
        <w:t>учитывать  в</w:t>
      </w:r>
      <w:proofErr w:type="gramEnd"/>
      <w:r w:rsidRPr="00F378F3">
        <w:rPr>
          <w:rFonts w:ascii="Times New Roman" w:hAnsi="Times New Roman"/>
        </w:rPr>
        <w:t xml:space="preserve"> стоимости товаров в части, в которой такие товары используются для производства и (или)  реализации товаров (работ, услуг), имущественных прав, операции по реализации которых освобождаются от налогообложения.</w:t>
      </w:r>
    </w:p>
    <w:p w:rsidR="00E4498C" w:rsidRPr="00F378F3" w:rsidRDefault="00E4498C" w:rsidP="00E4498C">
      <w:pPr>
        <w:pStyle w:val="a3"/>
        <w:ind w:firstLine="567"/>
        <w:rPr>
          <w:rFonts w:ascii="Times New Roman" w:hAnsi="Times New Roman"/>
        </w:rPr>
      </w:pPr>
      <w:proofErr w:type="gramStart"/>
      <w:r w:rsidRPr="00F378F3">
        <w:rPr>
          <w:rFonts w:ascii="Times New Roman" w:hAnsi="Times New Roman"/>
        </w:rPr>
        <w:t>Указанные  части</w:t>
      </w:r>
      <w:proofErr w:type="gramEnd"/>
      <w:r w:rsidRPr="00F378F3">
        <w:rPr>
          <w:rFonts w:ascii="Times New Roman" w:hAnsi="Times New Roman"/>
        </w:rPr>
        <w:t xml:space="preserve"> определяются исходя из стоимости отгруженных товаров</w:t>
      </w:r>
      <w:r>
        <w:rPr>
          <w:rFonts w:ascii="Times New Roman" w:hAnsi="Times New Roman"/>
        </w:rPr>
        <w:t xml:space="preserve"> </w:t>
      </w:r>
      <w:r w:rsidRPr="00F378F3">
        <w:rPr>
          <w:rFonts w:ascii="Times New Roman" w:hAnsi="Times New Roman"/>
        </w:rPr>
        <w:t xml:space="preserve">(работ, услуг) имущественных прав, операции по реализации которых подлежат  налогообложению (освобождены от налогообложения), в общей стоимости товаров(работ, услуг), имущественных прав, отгруженных за налоговый период. 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п. 4 </w:t>
      </w:r>
      <w:hyperlink r:id="rId35" w:history="1">
        <w:r>
          <w:rPr>
            <w:rFonts w:cs="Calibri"/>
            <w:i/>
            <w:iCs/>
            <w:color w:val="0000FF"/>
          </w:rPr>
          <w:t>ст. 170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pStyle w:val="a3"/>
      </w:pPr>
      <w:r w:rsidRPr="00F378F3">
        <w:t xml:space="preserve">   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6" w:name="Par6756"/>
      <w:bookmarkEnd w:id="6"/>
      <w:r>
        <w:rPr>
          <w:rFonts w:cs="Calibri"/>
          <w:b/>
          <w:bCs/>
        </w:rPr>
        <w:t>3. Налог на доходы физических лиц (НДФЛ)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3.1. Учет доходов, начисленных физическим лицам, предоставленных им налоговых вычетов, а также сумм удержанного с них налога на доходы физических лиц ведется в налоговом регистре, разработанном учреждением самостоятельно и приведенном в </w:t>
      </w:r>
      <w:hyperlink w:anchor="Par6795" w:history="1">
        <w:r>
          <w:rPr>
            <w:rFonts w:cs="Calibri"/>
            <w:color w:val="0000FF"/>
          </w:rPr>
          <w:t>Приложении</w:t>
        </w:r>
      </w:hyperlink>
      <w:r>
        <w:rPr>
          <w:rFonts w:cs="Calibri"/>
        </w:rPr>
        <w:t xml:space="preserve"> к настоящей Учетной политике.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lastRenderedPageBreak/>
        <w:t xml:space="preserve">(Основание: </w:t>
      </w:r>
      <w:hyperlink r:id="rId36" w:history="1">
        <w:r>
          <w:rPr>
            <w:rFonts w:cs="Calibri"/>
            <w:i/>
            <w:iCs/>
            <w:color w:val="0000FF"/>
          </w:rPr>
          <w:t>ст. 230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3.2. Налоговые вычеты физическим лицам, в отношении которых учреждение выступает налоговым агентом, предоставляются на основании их письменных заявлений по самостоятельно разработанным учреждением формам, приведенным в </w:t>
      </w:r>
      <w:hyperlink w:anchor="Par6795" w:history="1">
        <w:r>
          <w:rPr>
            <w:rFonts w:cs="Calibri"/>
            <w:color w:val="0000FF"/>
          </w:rPr>
          <w:t>Приложении</w:t>
        </w:r>
      </w:hyperlink>
      <w:r>
        <w:rPr>
          <w:rFonts w:cs="Calibri"/>
        </w:rPr>
        <w:t xml:space="preserve"> к настоящей Учетной политике.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37" w:history="1">
        <w:r>
          <w:rPr>
            <w:rFonts w:cs="Calibri"/>
            <w:i/>
            <w:iCs/>
            <w:color w:val="0000FF"/>
          </w:rPr>
          <w:t>п. 3 ст. 218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3.3. Перечисление исчисленных и удержанных сумм налога в бюджет производится самостоятельно по месту своего нахождения.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7" w:name="Par6766"/>
      <w:bookmarkEnd w:id="7"/>
      <w:r>
        <w:rPr>
          <w:rFonts w:cs="Calibri"/>
          <w:b/>
          <w:bCs/>
        </w:rPr>
        <w:t>4. Страховые взносы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4.1. Учет сумм начисленных выплат работникам, а также сумм страховых взносов в государственные внебюджетные фонды, относящихся к ним, по каждому физическому лицу, в пользу которого осуществлялись выплаты, ведется в индивидуальных карточках по формам, приведенным в </w:t>
      </w:r>
      <w:hyperlink w:anchor="Par6795" w:history="1">
        <w:r>
          <w:rPr>
            <w:rFonts w:cs="Calibri"/>
            <w:color w:val="0000FF"/>
          </w:rPr>
          <w:t>Приложении</w:t>
        </w:r>
      </w:hyperlink>
      <w:r>
        <w:rPr>
          <w:rFonts w:cs="Calibri"/>
        </w:rPr>
        <w:t xml:space="preserve"> к настоящей Учетной политике.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8" w:name="Par6770"/>
      <w:bookmarkStart w:id="9" w:name="Par6781"/>
      <w:bookmarkEnd w:id="8"/>
      <w:bookmarkEnd w:id="9"/>
      <w:r>
        <w:rPr>
          <w:rFonts w:cs="Calibri"/>
          <w:b/>
          <w:bCs/>
        </w:rPr>
        <w:t>5. Налог на имущество организаций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5.1. Налоговая база определяется отдельно по местонахождению учреждения. 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  <w:i/>
          <w:iCs/>
        </w:rPr>
        <w:t xml:space="preserve">(Основание: </w:t>
      </w:r>
      <w:hyperlink r:id="rId38" w:history="1">
        <w:r>
          <w:rPr>
            <w:rFonts w:cs="Calibri"/>
            <w:i/>
            <w:iCs/>
            <w:color w:val="0000FF"/>
          </w:rPr>
          <w:t>п. 1 ст. 376</w:t>
        </w:r>
      </w:hyperlink>
      <w:r>
        <w:rPr>
          <w:rFonts w:cs="Calibri"/>
          <w:i/>
          <w:iCs/>
        </w:rPr>
        <w:t xml:space="preserve"> НК РФ)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cs="Calibri"/>
        </w:rPr>
        <w:t xml:space="preserve">5.2. Начисление и уплата в бюджет налога на имущество производятся самостоятельно </w:t>
      </w:r>
      <w:r w:rsidRPr="00C836DB">
        <w:rPr>
          <w:rFonts w:cs="Calibri"/>
          <w:iCs/>
        </w:rPr>
        <w:t>(</w:t>
      </w:r>
      <w:hyperlink r:id="rId39" w:history="1">
        <w:r w:rsidRPr="00C836DB">
          <w:rPr>
            <w:rFonts w:cs="Calibri"/>
            <w:iCs/>
            <w:color w:val="0000FF"/>
          </w:rPr>
          <w:t>п. 3 ст. 382</w:t>
        </w:r>
      </w:hyperlink>
      <w:r w:rsidRPr="00C836DB">
        <w:rPr>
          <w:rFonts w:cs="Calibri"/>
          <w:iCs/>
        </w:rPr>
        <w:t xml:space="preserve"> НК РФ)</w:t>
      </w:r>
      <w:r>
        <w:rPr>
          <w:rFonts w:cs="Calibri"/>
        </w:rPr>
        <w:t xml:space="preserve">. </w:t>
      </w:r>
      <w:r>
        <w:t>Ставки налога на имущество устанавливаются законами субъектов РФ и не могут превышать 2,2% (</w:t>
      </w:r>
      <w:hyperlink r:id="rId40" w:history="1">
        <w:r>
          <w:rPr>
            <w:color w:val="0000FF"/>
          </w:rPr>
          <w:t>п. 1 ст. 380</w:t>
        </w:r>
      </w:hyperlink>
      <w:r>
        <w:t xml:space="preserve"> НК РФ). Наряду со ставкой региональными нормативными актами устанавливаются порядок и сроки уплаты налога, предусматриваются налоговые льготы и основания для их использования (</w:t>
      </w:r>
      <w:hyperlink r:id="rId41" w:history="1">
        <w:r>
          <w:rPr>
            <w:color w:val="0000FF"/>
          </w:rPr>
          <w:t>п. 2 ст. 372</w:t>
        </w:r>
      </w:hyperlink>
      <w:r>
        <w:t xml:space="preserve"> НК РФ).</w:t>
      </w:r>
    </w:p>
    <w:p w:rsidR="009475E7" w:rsidRDefault="009475E7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t>С 01.01.2019 года вступили в силу изменения в порядок начисления и уплаты налога на имущество организаций, внесенные в п.1 ст.374 НК РФ. Из объектов налогообложения исключено движимое имущество, а налог следует исчислять только в отношении недвижимости, учитываемой на балансе в качестве объекта ОС, в том числе переданной во временное владение, распоряжение или пользование.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>
        <w:rPr>
          <w:rFonts w:cs="Calibri"/>
        </w:rPr>
        <w:t>Приложение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Учетной политике МУ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"</w:t>
      </w:r>
      <w:r w:rsidRPr="00682EA4">
        <w:rPr>
          <w:rFonts w:cs="Calibri"/>
        </w:rPr>
        <w:t xml:space="preserve"> </w:t>
      </w:r>
      <w:r>
        <w:rPr>
          <w:rFonts w:cs="Calibri"/>
        </w:rPr>
        <w:t>Управление культуры и молодежной политики "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для целей налогового учета</w:t>
      </w: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4498C" w:rsidRDefault="00E4498C" w:rsidP="00E4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Разработанные формы документов:</w:t>
      </w:r>
    </w:p>
    <w:p w:rsidR="00E4498C" w:rsidRDefault="00BD7870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w:anchor="Par7016" w:history="1">
        <w:r w:rsidR="00E4498C">
          <w:rPr>
            <w:rFonts w:cs="Calibri"/>
            <w:color w:val="0000FF"/>
          </w:rPr>
          <w:t>I</w:t>
        </w:r>
      </w:hyperlink>
      <w:r w:rsidR="00E4498C">
        <w:rPr>
          <w:rFonts w:cs="Calibri"/>
        </w:rPr>
        <w:t>. Налоговый регистр (карточка) по учету доходов, вычетов и налога на доходы физических лиц.</w:t>
      </w:r>
    </w:p>
    <w:p w:rsidR="00E4498C" w:rsidRDefault="00BD7870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w:anchor="Par6849" w:history="1">
        <w:r w:rsidR="00E4498C">
          <w:rPr>
            <w:rFonts w:cs="Calibri"/>
            <w:color w:val="0000FF"/>
          </w:rPr>
          <w:t>II</w:t>
        </w:r>
      </w:hyperlink>
      <w:r w:rsidR="00E4498C">
        <w:rPr>
          <w:rFonts w:cs="Calibri"/>
        </w:rPr>
        <w:t xml:space="preserve">. Образец заявления налоговому агенту о предоставлении стандартных налоговых вычетов на детей на основании </w:t>
      </w:r>
      <w:hyperlink r:id="rId42" w:history="1">
        <w:proofErr w:type="spellStart"/>
        <w:r w:rsidR="00E4498C">
          <w:rPr>
            <w:rFonts w:cs="Calibri"/>
            <w:color w:val="0000FF"/>
          </w:rPr>
          <w:t>пп</w:t>
        </w:r>
        <w:proofErr w:type="spellEnd"/>
        <w:r w:rsidR="00E4498C">
          <w:rPr>
            <w:rFonts w:cs="Calibri"/>
            <w:color w:val="0000FF"/>
          </w:rPr>
          <w:t>. 4 п. 1 ст. 218</w:t>
        </w:r>
      </w:hyperlink>
      <w:r w:rsidR="00E4498C">
        <w:rPr>
          <w:rFonts w:cs="Calibri"/>
        </w:rPr>
        <w:t xml:space="preserve"> НК РФ.</w:t>
      </w:r>
    </w:p>
    <w:p w:rsidR="00E4498C" w:rsidRDefault="00BD7870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w:anchor="Par8523" w:history="1">
        <w:r w:rsidR="00E4498C" w:rsidRPr="00C836DB">
          <w:rPr>
            <w:rFonts w:cs="Calibri"/>
            <w:color w:val="0000FF"/>
          </w:rPr>
          <w:t>II</w:t>
        </w:r>
        <w:r w:rsidR="00E4498C">
          <w:rPr>
            <w:rFonts w:cs="Calibri"/>
            <w:color w:val="0000FF"/>
          </w:rPr>
          <w:t>I</w:t>
        </w:r>
      </w:hyperlink>
      <w:r w:rsidR="00E4498C">
        <w:rPr>
          <w:rFonts w:cs="Calibri"/>
        </w:rPr>
        <w:t>. Образец заявления налоговому агенту о предоставлении двойного стандартного налогового вычета на ребенка единственному родителю.</w:t>
      </w:r>
    </w:p>
    <w:p w:rsidR="00E4498C" w:rsidRDefault="00BD7870" w:rsidP="00E449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w:anchor="Par6849" w:history="1">
        <w:r w:rsidR="00E4498C">
          <w:rPr>
            <w:rFonts w:cs="Calibri"/>
            <w:color w:val="0000FF"/>
          </w:rPr>
          <w:t>I</w:t>
        </w:r>
      </w:hyperlink>
      <w:hyperlink w:anchor="Par8547" w:history="1">
        <w:r w:rsidR="00E4498C">
          <w:rPr>
            <w:rFonts w:cs="Calibri"/>
            <w:color w:val="0000FF"/>
          </w:rPr>
          <w:t>V</w:t>
        </w:r>
      </w:hyperlink>
      <w:r w:rsidR="00E4498C">
        <w:rPr>
          <w:rFonts w:cs="Calibri"/>
        </w:rPr>
        <w:t>. Индивидуальная карточка учета страховых взносов.</w:t>
      </w:r>
    </w:p>
    <w:p w:rsidR="00A92C14" w:rsidRDefault="00BD7870"/>
    <w:sectPr w:rsidR="00A92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8C"/>
    <w:rsid w:val="0039312A"/>
    <w:rsid w:val="00406331"/>
    <w:rsid w:val="004C67F8"/>
    <w:rsid w:val="009475E7"/>
    <w:rsid w:val="00BD7870"/>
    <w:rsid w:val="00CE61AC"/>
    <w:rsid w:val="00CE62C0"/>
    <w:rsid w:val="00D62AC4"/>
    <w:rsid w:val="00E4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2CA9C-C15C-41FC-9724-DE37A983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9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98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C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7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247B1FD2B40B292B5E88C2B8D10EC8D8307302EF972969A3A012FA89441D8D1E0F3C27009F04C64bDG" TargetMode="External"/><Relationship Id="rId13" Type="http://schemas.openxmlformats.org/officeDocument/2006/relationships/hyperlink" Target="consultantplus://offline/ref=9B7247B1FD2B40B292B5E88C2B8D10EC8D8307302EF972969A3A012FA89441D8D1E0F3C2700BF94264b7G" TargetMode="External"/><Relationship Id="rId18" Type="http://schemas.openxmlformats.org/officeDocument/2006/relationships/hyperlink" Target="consultantplus://offline/ref=9B7247B1FD2B40B292B5E88C2B8D10EC8D85093D28FB72969A3A012FA89441D8D1E0F3C2700AF04B64bEG" TargetMode="External"/><Relationship Id="rId26" Type="http://schemas.openxmlformats.org/officeDocument/2006/relationships/hyperlink" Target="consultantplus://offline/ref=9B7247B1FD2B40B292B5E88C2B8D10EC8D8307302EF972969A3A012FA89441D8D1E0F3C7720D6Fb2G" TargetMode="External"/><Relationship Id="rId39" Type="http://schemas.openxmlformats.org/officeDocument/2006/relationships/hyperlink" Target="consultantplus://offline/ref=9B7247B1FD2B40B292B5E88C2B8D10EC8D8307302EF972969A3A012FA89441D8D1E0F3C7790D6Fb6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7247B1FD2B40B292B5E88C2B8D10EC8D8307302EF972969A3A012FA89441D8D1E0F3C7730B6Fb0G" TargetMode="External"/><Relationship Id="rId34" Type="http://schemas.openxmlformats.org/officeDocument/2006/relationships/hyperlink" Target="consultantplus://offline/ref=9B7247B1FD2B40B292B5E88C2B8D10EC8D8307302EF972969A3A012FA89441D8D1E0F3C27008F74A64b8G" TargetMode="External"/><Relationship Id="rId42" Type="http://schemas.openxmlformats.org/officeDocument/2006/relationships/hyperlink" Target="consultantplus://offline/ref=9B7247B1FD2B40B292B5E88C2B8D10EC8D8307302EF972969A3A012FA89441D8D1E0F3C4720A6Fb4G" TargetMode="External"/><Relationship Id="rId7" Type="http://schemas.openxmlformats.org/officeDocument/2006/relationships/hyperlink" Target="consultantplus://offline/ref=9B7247B1FD2B40B292B5E88C2B8D10EC8D8307302EF972969A3A012FA89441D8D1E0F3C27009F04C64bDG" TargetMode="External"/><Relationship Id="rId12" Type="http://schemas.openxmlformats.org/officeDocument/2006/relationships/hyperlink" Target="consultantplus://offline/ref=9B7247B1FD2B40B292B5E88C2B8D10EC8D8307302EF972969A3A012FA89441D8D1E0F3C2700BF94264bDG" TargetMode="External"/><Relationship Id="rId17" Type="http://schemas.openxmlformats.org/officeDocument/2006/relationships/hyperlink" Target="consultantplus://offline/ref=9B7247B1FD2B40B292B5E88C2B8D10EC8D8307302EF972969A3A012FA89441D8D1E0F3C677036Fb7G" TargetMode="External"/><Relationship Id="rId25" Type="http://schemas.openxmlformats.org/officeDocument/2006/relationships/hyperlink" Target="consultantplus://offline/ref=9B7247B1FD2B40B292B5E88C2B8D10EC8D8307302EF972969A3A012FA89441D8D1E0F3C772036Fb6G" TargetMode="External"/><Relationship Id="rId33" Type="http://schemas.openxmlformats.org/officeDocument/2006/relationships/hyperlink" Target="consultantplus://offline/ref=9B7247B1FD2B40B292B5E88C2B8D10EC8D8307302EF972969A3A012FA89441D8D1E0F3C27008F74A64b8G" TargetMode="External"/><Relationship Id="rId38" Type="http://schemas.openxmlformats.org/officeDocument/2006/relationships/hyperlink" Target="consultantplus://offline/ref=9B7247B1FD2B40B292B5E88C2B8D10EC8D8307302EF972969A3A012FA89441D8D1E0F3C7790D6Fb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7247B1FD2B40B292B5E88C2B8D10EC8D8307302EF972969A3A012FA89441D8D1E0F3C2700BF94F64bBG" TargetMode="External"/><Relationship Id="rId20" Type="http://schemas.openxmlformats.org/officeDocument/2006/relationships/hyperlink" Target="consultantplus://offline/ref=9B7247B1FD2B40B292B5E88C2B8D10EC8D8307302EF972969A3A012FA89441D8D1E0F3C772036Fb5G" TargetMode="External"/><Relationship Id="rId29" Type="http://schemas.openxmlformats.org/officeDocument/2006/relationships/hyperlink" Target="consultantplus://offline/ref=9B7247B1FD2B40B292B5E88C2B8D10EC8D8307302EF972969A3A012FA89441D8D1E0F3C275086Fb8G" TargetMode="External"/><Relationship Id="rId41" Type="http://schemas.openxmlformats.org/officeDocument/2006/relationships/hyperlink" Target="consultantplus://offline/ref=EC4127DF6DE0F1DE13FA30EDD9F8843404509EAD086B42CFC1AC5F59BC50C463AFF0F66D1102JCe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7247B1FD2B40B292B5E88C2B8D10EC8D8307302EF972969A3A012FA89441D8D1E0F3C27009F04E64bDG" TargetMode="External"/><Relationship Id="rId11" Type="http://schemas.openxmlformats.org/officeDocument/2006/relationships/hyperlink" Target="consultantplus://offline/ref=9B7247B1FD2B40B292B5E88C2B8D10EC8D8307302EF972969A3A012FA89441D8D1E0F3C27008F44F64b7G" TargetMode="External"/><Relationship Id="rId24" Type="http://schemas.openxmlformats.org/officeDocument/2006/relationships/hyperlink" Target="consultantplus://offline/ref=9B7247B1FD2B40B292B5E88C2B8D10EC8D8307302EF972969A3A012FA89441D8D1E0F3C772036Fb9G" TargetMode="External"/><Relationship Id="rId32" Type="http://schemas.openxmlformats.org/officeDocument/2006/relationships/hyperlink" Target="consultantplus://offline/ref=9B7247B1FD2B40B292B5E88C2B8D10EC8D8307302EF972969A3A012FA89441D8D1E0F3C27008F74A64b8G" TargetMode="External"/><Relationship Id="rId37" Type="http://schemas.openxmlformats.org/officeDocument/2006/relationships/hyperlink" Target="consultantplus://offline/ref=9B7247B1FD2B40B292B5E88C2B8D10EC8D8307302EF972969A3A012FA89441D8D1E0F3C27960bBG" TargetMode="External"/><Relationship Id="rId40" Type="http://schemas.openxmlformats.org/officeDocument/2006/relationships/hyperlink" Target="consultantplus://offline/ref=EC4127DF6DE0F1DE13FA30EDD9F8843404509EAD086B42CFC1AC5F59BC50C463AFF0F66C16J0e3K" TargetMode="External"/><Relationship Id="rId5" Type="http://schemas.openxmlformats.org/officeDocument/2006/relationships/hyperlink" Target="consultantplus://offline/ref=9B7247B1FD2B40B292B5E88C2B8D10EC8D8307302EF972969A3A012FA89441D8D1E0F3C27009F04E64bDG" TargetMode="External"/><Relationship Id="rId15" Type="http://schemas.openxmlformats.org/officeDocument/2006/relationships/hyperlink" Target="consultantplus://offline/ref=9B7247B1FD2B40B292B5E88C2B8D10EC8D8307302EF972969A3A012FA89441D8D1E0F3C275086Fb3G" TargetMode="External"/><Relationship Id="rId23" Type="http://schemas.openxmlformats.org/officeDocument/2006/relationships/hyperlink" Target="consultantplus://offline/ref=9B7247B1FD2B40B292B5E88C2B8D10EC8D8307302EF972969A3A012FA89441D8D1E0F3C079036Fb6G" TargetMode="External"/><Relationship Id="rId28" Type="http://schemas.openxmlformats.org/officeDocument/2006/relationships/hyperlink" Target="consultantplus://offline/ref=9B7247B1FD2B40B292B5E88C2B8D10EC8D8307302EF972969A3A012FA89441D8D1E0F3C27008F04A64b6G" TargetMode="External"/><Relationship Id="rId36" Type="http://schemas.openxmlformats.org/officeDocument/2006/relationships/hyperlink" Target="consultantplus://offline/ref=9B7247B1FD2B40B292B5E88C2B8D10EC8D8307302EF972969A3A012FA89441D8D1E0F3C2700BF54B64bDG" TargetMode="External"/><Relationship Id="rId10" Type="http://schemas.openxmlformats.org/officeDocument/2006/relationships/hyperlink" Target="consultantplus://offline/ref=9B7247B1FD2B40B292B5E88C2B8D10EC8D8307302EF972969A3A012FA89441D8D1E0F3C27008F44864bEG" TargetMode="External"/><Relationship Id="rId19" Type="http://schemas.openxmlformats.org/officeDocument/2006/relationships/hyperlink" Target="consultantplus://offline/ref=9B7247B1FD2B40B292B5E88C2B8D10EC8D8307302EF972969A3A012FA89441D8D1E0F3C7720D6Fb2G" TargetMode="External"/><Relationship Id="rId31" Type="http://schemas.openxmlformats.org/officeDocument/2006/relationships/hyperlink" Target="consultantplus://offline/ref=9B7247B1FD2B40B292B5E88C2B8D10EC8D8307302EF972969A3A012FA89441D8D1E0F3C27008F64D64bDG" TargetMode="External"/><Relationship Id="rId44" Type="http://schemas.openxmlformats.org/officeDocument/2006/relationships/theme" Target="theme/theme1.xml"/><Relationship Id="rId4" Type="http://schemas.openxmlformats.org/officeDocument/2006/relationships/hyperlink" Target="consultantplus://offline/ref=9B7247B1FD2B40B292B5E88C2B8D10EC8D8307302EF972969A3A012FA89441D8D1E0F3C27009F04E64bDG" TargetMode="External"/><Relationship Id="rId9" Type="http://schemas.openxmlformats.org/officeDocument/2006/relationships/hyperlink" Target="consultantplus://offline/ref=9B7247B1FD2B40B292B5E88C2B8D10EC8D8307302EFC72969A3A012FA89441D8D1E0F3C67660bCG" TargetMode="External"/><Relationship Id="rId14" Type="http://schemas.openxmlformats.org/officeDocument/2006/relationships/hyperlink" Target="consultantplus://offline/ref=9B7247B1FD2B40B292B5E88C2B8D10EC8D8307302EF972969A3A012FA89441D8D1E0F3C275086Fb0G" TargetMode="External"/><Relationship Id="rId22" Type="http://schemas.openxmlformats.org/officeDocument/2006/relationships/hyperlink" Target="consultantplus://offline/ref=9B7247B1FD2B40B292B5E88C2B8D10EC8D8307302EF972969A3A012FA89441D8D1E0F3C7730B6Fb5G" TargetMode="External"/><Relationship Id="rId27" Type="http://schemas.openxmlformats.org/officeDocument/2006/relationships/hyperlink" Target="consultantplus://offline/ref=9B7247B1FD2B40B292B5E88C2B8D10EC8D8307302EF972969A3A012FA89441D8D1E0F3C772036Fb9G" TargetMode="External"/><Relationship Id="rId30" Type="http://schemas.openxmlformats.org/officeDocument/2006/relationships/hyperlink" Target="consultantplus://offline/ref=9B7247B1FD2B40B292B5E88C2B8D10EC8D8307302EF972969A3A012FA89441D8D1E0F3C27008F04B64bBG" TargetMode="External"/><Relationship Id="rId35" Type="http://schemas.openxmlformats.org/officeDocument/2006/relationships/hyperlink" Target="consultantplus://offline/ref=9B7247B1FD2B40B292B5E88C2B8D10EC8D8307302EF972969A3A012FA89441D8D1E0F3C2700BF54B64bD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GlavBuh</cp:lastModifiedBy>
  <cp:revision>8</cp:revision>
  <cp:lastPrinted>2017-06-26T08:34:00Z</cp:lastPrinted>
  <dcterms:created xsi:type="dcterms:W3CDTF">2017-06-26T08:19:00Z</dcterms:created>
  <dcterms:modified xsi:type="dcterms:W3CDTF">2021-08-13T12:27:00Z</dcterms:modified>
</cp:coreProperties>
</file>