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FF" w:rsidRDefault="00A879FF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879FF" w:rsidRDefault="00A879FF">
      <w:pPr>
        <w:pStyle w:val="ConsPlusNormal"/>
        <w:jc w:val="both"/>
        <w:outlineLvl w:val="0"/>
      </w:pPr>
    </w:p>
    <w:p w:rsidR="00A879FF" w:rsidRDefault="00A879FF">
      <w:pPr>
        <w:pStyle w:val="ConsPlusTitle"/>
        <w:jc w:val="center"/>
        <w:outlineLvl w:val="0"/>
      </w:pPr>
      <w:r>
        <w:t>ПРАВИТЕЛЬСТВО КИРОВСКОЙ ОБЛАСТИ</w:t>
      </w:r>
    </w:p>
    <w:p w:rsidR="00A879FF" w:rsidRDefault="00A879FF">
      <w:pPr>
        <w:pStyle w:val="ConsPlusTitle"/>
        <w:jc w:val="both"/>
      </w:pPr>
    </w:p>
    <w:p w:rsidR="00A879FF" w:rsidRDefault="00A879FF">
      <w:pPr>
        <w:pStyle w:val="ConsPlusTitle"/>
        <w:jc w:val="center"/>
      </w:pPr>
      <w:r>
        <w:t>РАСПОРЯЖЕНИЕ</w:t>
      </w:r>
    </w:p>
    <w:p w:rsidR="00A879FF" w:rsidRDefault="00A879FF">
      <w:pPr>
        <w:pStyle w:val="ConsPlusTitle"/>
        <w:jc w:val="center"/>
      </w:pPr>
      <w:r>
        <w:t>от 27 февраля 2024 г. N 45</w:t>
      </w:r>
    </w:p>
    <w:p w:rsidR="00A879FF" w:rsidRDefault="00A879FF">
      <w:pPr>
        <w:pStyle w:val="ConsPlusTitle"/>
        <w:jc w:val="both"/>
      </w:pPr>
    </w:p>
    <w:p w:rsidR="00A879FF" w:rsidRDefault="00A879FF">
      <w:pPr>
        <w:pStyle w:val="ConsPlusTitle"/>
        <w:jc w:val="center"/>
      </w:pPr>
      <w:r>
        <w:t>О ПЛАНЕ МЕРОПРИЯТИЙ ПО ПОВЫШЕНИЮ ЭФФЕКТИВНОСТИ РАБОТЫ</w:t>
      </w:r>
    </w:p>
    <w:p w:rsidR="00A879FF" w:rsidRDefault="00A879FF">
      <w:pPr>
        <w:pStyle w:val="ConsPlusTitle"/>
        <w:jc w:val="center"/>
      </w:pPr>
      <w:r>
        <w:t>ПО ЛЕГАЛИЗАЦИИ ЗАРАБОТНОЙ ПЛАТЫ И ТРУДОВЫХ ОТНОШЕНИЙ</w:t>
      </w: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ind w:firstLine="540"/>
        <w:jc w:val="both"/>
      </w:pPr>
      <w:r>
        <w:t>В целях повышения эффективности работы по легализации заработной платы и трудовых отношений, защиты прав и повышения социальных гарантий работающих граждан: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план</w:t>
        </w:r>
      </w:hyperlink>
      <w:r>
        <w:t xml:space="preserve"> мероприятий по повышению эффективности работы по легализации заработной платы и трудовых отношений (далее - план мероприятий) согласно приложению.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2. Органам исполнительной власти Кировской области: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2.1. Обеспечить выполнение плана мероприятий.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2.2. Представлять в управление государственной службы занятости населения Кировской области (далее - управление службы занятости) информацию об исполнении плана мероприятий ежеквартально, до 30-го числа месяца, следующего за отчетным периодом, нарастающим итогом.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районов, муниципальных округов и городских округов Кировской области: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3.1. Принять меры по выполнению плана мероприятий.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3.2. Представлять в управление службы занятости информацию об исполнении плана мероприятий ежеквартально, до 30-го числа месяца, следующего за отчетным периодом, нарастающим итогом.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4. Рекомендовать территориальным органам федеральных органов исполнительной власти и организациям Кировской области, участвующим в реализации плана мероприятий: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4.1. Принять меры по выполнению плана мероприятий.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4.2. Представлять в управление службы занятости информацию об исполнении плана мероприятий ежеквартально, до 30-го числа месяца, следующего за отчетным периодом, нарастающим итогом, за исключением Управления Федеральной налоговой службы по Кировской области. Управлению Федеральной налоговой службы по Кировской области представлять информацию в сроки, указанные в пункте 19 плана мероприятий.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5. Управлению службы занятости обеспечить координацию работы органов исполнительной власти Кировской области, территориальных органов федеральных органов исполнительной власти, органов местного самоуправления муниципальных районов, муниципальных округов и городских округов Кировской области и организаций Кировской области, участвующих в реализации плана мероприятий, по выполнению настоящего распоряжения.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Кировской области от 22.10.2021 N 198 "О плане мероприятий по повышению эффективности работы по легализации заработной платы и трудовых отношений".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первого заместителя Председателя </w:t>
      </w:r>
      <w:r>
        <w:lastRenderedPageBreak/>
        <w:t>Правительства Кировской области Курдюмова Д.А.</w:t>
      </w: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jc w:val="right"/>
      </w:pPr>
      <w:r>
        <w:t>Губернатор</w:t>
      </w:r>
    </w:p>
    <w:p w:rsidR="00A879FF" w:rsidRDefault="00A879FF">
      <w:pPr>
        <w:pStyle w:val="ConsPlusNormal"/>
        <w:jc w:val="right"/>
      </w:pPr>
      <w:r>
        <w:t>Кировской области</w:t>
      </w:r>
    </w:p>
    <w:p w:rsidR="00A879FF" w:rsidRDefault="00A879FF">
      <w:pPr>
        <w:pStyle w:val="ConsPlusNormal"/>
        <w:jc w:val="right"/>
      </w:pPr>
      <w:r>
        <w:t>А.В.СОКОЛОВ</w:t>
      </w: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jc w:val="right"/>
        <w:outlineLvl w:val="0"/>
      </w:pPr>
      <w:r>
        <w:t>Приложение</w:t>
      </w: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jc w:val="right"/>
      </w:pPr>
      <w:r>
        <w:t>Утвержден</w:t>
      </w:r>
    </w:p>
    <w:p w:rsidR="00A879FF" w:rsidRDefault="00A879FF">
      <w:pPr>
        <w:pStyle w:val="ConsPlusNormal"/>
        <w:jc w:val="right"/>
      </w:pPr>
      <w:r>
        <w:t>распоряжением</w:t>
      </w:r>
    </w:p>
    <w:p w:rsidR="00A879FF" w:rsidRDefault="00A879FF">
      <w:pPr>
        <w:pStyle w:val="ConsPlusNormal"/>
        <w:jc w:val="right"/>
      </w:pPr>
      <w:r>
        <w:t>Правительства Кировской области</w:t>
      </w:r>
    </w:p>
    <w:p w:rsidR="00A879FF" w:rsidRDefault="00A879FF">
      <w:pPr>
        <w:pStyle w:val="ConsPlusNormal"/>
        <w:jc w:val="right"/>
      </w:pPr>
      <w:r>
        <w:t>от 27 февраля 2024 г. N 45</w:t>
      </w: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Title"/>
        <w:jc w:val="center"/>
      </w:pPr>
      <w:bookmarkStart w:id="1" w:name="P39"/>
      <w:bookmarkEnd w:id="1"/>
      <w:r>
        <w:t>ПЛАН</w:t>
      </w:r>
    </w:p>
    <w:p w:rsidR="00A879FF" w:rsidRDefault="00A879FF">
      <w:pPr>
        <w:pStyle w:val="ConsPlusTitle"/>
        <w:jc w:val="center"/>
      </w:pPr>
      <w:r>
        <w:t>МЕРОПРИЯТИЙ ПО ПОВЫШЕНИЮ ЭФФЕКТИВНОСТИ РАБОТЫ</w:t>
      </w:r>
    </w:p>
    <w:p w:rsidR="00A879FF" w:rsidRDefault="00A879FF">
      <w:pPr>
        <w:pStyle w:val="ConsPlusTitle"/>
        <w:jc w:val="center"/>
      </w:pPr>
      <w:r>
        <w:t>ПО ЛЕГАЛИЗАЦИИ ЗАРАБОТНОЙ ПЛАТЫ И ТРУДОВЫХ ОТНОШЕНИЙ</w:t>
      </w:r>
    </w:p>
    <w:p w:rsidR="00A879FF" w:rsidRDefault="00A87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25"/>
        <w:gridCol w:w="2268"/>
        <w:gridCol w:w="2098"/>
      </w:tblGrid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Представление в Государственную инспекцию труда в Кировской области, прокуратуру Кировской области и следственное управление Следственного комитета Российской Федерации по Кировской области информации о работодателях, выплачивающих заработную плату работникам ниже минимального </w:t>
            </w:r>
            <w:proofErr w:type="gramStart"/>
            <w:r>
              <w:t>размера оплаты труда</w:t>
            </w:r>
            <w:proofErr w:type="gramEnd"/>
            <w:r>
              <w:t xml:space="preserve">, установленного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(далее - МРОТ)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3 месяца - до 25 мая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6 месяцев - до 25 августа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9 месяцев - до 25 ноября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12 месяцев - до 25 февраля следующего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Федеральной налоговой службы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Принятие мер инспекторского реагирования в отношении работодателей, перечень которых представлен Управлением Федеральной налоговой службы по Кировской области, с целью выявления фактов нарушения трудового законодательства в части оплаты труда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Государственная инспекция труда 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proofErr w:type="gramStart"/>
            <w:r>
              <w:t xml:space="preserve">Представление в администрации муниципальных районов, муниципальных округов и городских округов Кировской области и органы исполнительной власти Кировской области, курирующие соответствующие виды экономической деятельности, сведений о среднемесячной номинальной начисленной заработной </w:t>
            </w:r>
            <w:r>
              <w:lastRenderedPageBreak/>
              <w:t>плате работников по организациям без субъектов малого предпринимательства, включая организации с численностью работников до 15 человек (по хозяйственным видам экономической деятельности), в разрезе муниципальных районов, муниципальных округов и городских округов Кировской</w:t>
            </w:r>
            <w:proofErr w:type="gramEnd"/>
            <w:r>
              <w:t xml:space="preserve"> области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3 месяца - до 30 июля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6 месяцев - до 30 октября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9 месяцев - до 30 января следующего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lastRenderedPageBreak/>
              <w:t>за 12 месяцев - до 30 апреля следующего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lastRenderedPageBreak/>
              <w:t>министерство экономического развития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proofErr w:type="gramStart"/>
            <w:r>
              <w:t>Представление в администрации муниципальных районов, муниципальных округов и городских округов Кировской области и органы исполнительной власти Кировской области, курирующие соответствующие виды экономической деятельности, информации об уровне заработной платы по вакансиям, заявленным работодателями в кировские областные государственные казенные учреждения центры занятости населения, в разрезе муниципальных районов, муниципальных округов и городских округов Кировской области</w:t>
            </w:r>
            <w:proofErr w:type="gramEnd"/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3 месяца - до 20 апреля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6 месяцев - до 20 июля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9 месяцев - до 20 октября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12 месяцев - до 20 января следующего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Представление в администрации муниципальных районов, муниципальных округов и городских округов Кировской области информации о численности работающих граждан по состоянию на последнюю отчетную дату на основании имеющейся в налоговых органах отчетности работодателей (персонифицированных сведений о физических лицах) без раскрытия персональных данных граждан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 запросу территориальных комиссий по вопросам ликвидации задолженности по заработной плате и легализации трудовых отношений (далее - территориальные комиссии)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Федеральной налоговой службы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Представление в управление государственной </w:t>
            </w:r>
            <w:proofErr w:type="gramStart"/>
            <w:r>
              <w:t>службы занятости населения Кировской области информации</w:t>
            </w:r>
            <w:proofErr w:type="gramEnd"/>
            <w:r>
              <w:t xml:space="preserve"> на начало текущего года (для расчета планового значения показателя "Снижение численности неформально занятых граждан" на очередной календарный год)</w:t>
            </w:r>
          </w:p>
        </w:tc>
        <w:tc>
          <w:tcPr>
            <w:tcW w:w="2268" w:type="dxa"/>
            <w:vMerge w:val="restart"/>
          </w:tcPr>
          <w:p w:rsidR="00A879FF" w:rsidRDefault="00A879FF">
            <w:pPr>
              <w:pStyle w:val="ConsPlusNormal"/>
              <w:jc w:val="center"/>
            </w:pPr>
            <w:r>
              <w:t>ежегодно до 1 июля текущего года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</w:pP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 численности неработающих лиц в трудоспособном возрасте, застрахованных по обязательному медицинскому страхованию, в разрезе муниципальных районов, муниципальных округов и городских округов Кировской области:</w:t>
            </w:r>
          </w:p>
          <w:p w:rsidR="00A879FF" w:rsidRDefault="00A879FF">
            <w:pPr>
              <w:pStyle w:val="ConsPlusNormal"/>
              <w:jc w:val="both"/>
            </w:pPr>
            <w:r>
              <w:lastRenderedPageBreak/>
              <w:t>за 2023 - 2024 годы в разрезе: мужчины в возрасте от 16 лет до 62 лет (включительно), женщины в возрасте от 16 лет до 57 лет (включительно);</w:t>
            </w:r>
          </w:p>
          <w:p w:rsidR="00A879FF" w:rsidRDefault="00A879FF">
            <w:pPr>
              <w:pStyle w:val="ConsPlusNormal"/>
              <w:jc w:val="both"/>
            </w:pPr>
            <w:r>
              <w:t>за 2025 - 2026 годы в разрезе: мужчины в возрасте от 16 лет до 63 лет (включительно), женщины в возрасте от 16 лет до 58 лет (включительно);</w:t>
            </w:r>
          </w:p>
          <w:p w:rsidR="00A879FF" w:rsidRDefault="00A879FF">
            <w:pPr>
              <w:pStyle w:val="ConsPlusNormal"/>
              <w:jc w:val="both"/>
            </w:pPr>
            <w:r>
              <w:t>за 2027 год и последующие годы в разрезе: мужчины в возрасте от 16 лет до 64 лет (включительно), женщины в возрасте от 16 лет до 59 лет (включительно)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государственное некоммерческое финансово-кредитное учреждение Кировский областной </w:t>
            </w:r>
            <w:r>
              <w:lastRenderedPageBreak/>
              <w:t>территориальный фонд обязательного медицинского страхования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О численности неработающих лиц в трудоспособном возрасте, осуществляющих уход за </w:t>
            </w:r>
            <w:proofErr w:type="gramStart"/>
            <w:r>
              <w:t>нетрудоспособными</w:t>
            </w:r>
            <w:proofErr w:type="gramEnd"/>
            <w:r>
              <w:t>, в разрезе муниципальных районов и муниципальных округов Кировской области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Отделение Фонда пенсионного и социального страхования 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 численности неработающих инвалидов I и II группы в трудоспособном возрасте в разрезе муниципальных районов и муниципальных округов Кировской области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Отделение Фонда пенсионного и социального страхования 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 численности неработающих лиц в трудоспособном возрасте, не являющихся инвалидами I и II группы, которые вышли на пенсию ранее возраста назначения страховой пенсии по старости, в разрезе муниципальных районов и муниципальных округов Кировской области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Отделение Фонда пенсионного и социального страхования 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Об общей численности застрахованных лиц, находящихся в отпуске по уходу за ребенком в возрасте до полутора лет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Отделение Фонда пенсионного и социального страхования 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Об общей численности женщин, находящихся в отпуске по беременности и родам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Отделение Фонда пенсионного и социального страхования </w:t>
            </w:r>
            <w:r>
              <w:lastRenderedPageBreak/>
              <w:t>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6.7.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 численности неработающих лиц, получающих ежемесячное пособие по уходу за ребенком и не подлежащих обязательному социальному страхованию на случай временной нетрудоспособности и в связи с материнством, в разрезе муниципальных районов и муниципальных округов Кировской области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Отделение Фонда пенсионного и социального страхования 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 численности официально зарегистрированных и ликвидированных индивидуальных предпринимателей за предыдущий календарный год в разрезе муниципальных районов, муниципальных округов и городских округов Кировской области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Территориальный орган Федеральной службы государственной статистики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 численности принятых и уволенных работников организаций (без субъектов малого предпринимательства), средняя численность работников которых превышает 15 человек, за предыдущий календарный год в разрезе муниципальных районов, муниципальных округов и городских округов Кировской области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Территориальный орган Федеральной службы государственной статистики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 численности обучающихся 10 - 11 классов в возрасте 16 лет и старше в разрезе муниципальных районов, муниципальных округов и городских округов Кировской области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министерство образования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Об общей численности обучающихся, осваивающих образовательные программы среднего профессионального образования в очной форме в возрасте 16 лет и старше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министерство образования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Об общей численности обучающихся, осваивающих образовательные программы высшего образования в очной форме в возрасте 16 лет и старше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министерство образования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Об общей численности лиц в трудоспособном возрасте - жителей Кировской области, отбывающих </w:t>
            </w:r>
            <w:r>
              <w:lastRenderedPageBreak/>
              <w:t>наказание в местах лишения свободы</w:t>
            </w:r>
          </w:p>
        </w:tc>
        <w:tc>
          <w:tcPr>
            <w:tcW w:w="2268" w:type="dxa"/>
            <w:vMerge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Управление Федеральной службы исполнения </w:t>
            </w:r>
            <w:r>
              <w:lastRenderedPageBreak/>
              <w:t>наказаний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Представление в управление государственной </w:t>
            </w:r>
            <w:proofErr w:type="gramStart"/>
            <w:r>
              <w:t>службы занятости населения Кировской области сведений</w:t>
            </w:r>
            <w:proofErr w:type="gramEnd"/>
            <w:r>
              <w:t xml:space="preserve"> об общей численности граждан в трудоспособном возрасте, в отношении которых отсутствуют сведения о доходах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ежегодно до 1 октября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Федеральной налоговой службы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Представление в управление государственной </w:t>
            </w:r>
            <w:proofErr w:type="gramStart"/>
            <w:r>
              <w:t xml:space="preserve">службы занятости населения Кировской области </w:t>
            </w:r>
            <w:hyperlink r:id="rId8">
              <w:r>
                <w:rPr>
                  <w:color w:val="0000FF"/>
                </w:rPr>
                <w:t>формы</w:t>
              </w:r>
              <w:proofErr w:type="gramEnd"/>
              <w:r>
                <w:rPr>
                  <w:color w:val="0000FF"/>
                </w:rPr>
                <w:t xml:space="preserve"> N 8</w:t>
              </w:r>
            </w:hyperlink>
            <w:r>
              <w:t xml:space="preserve"> "Сведения о численности лиц, застрахованных по обязательному медицинскому страхованию", утвержденной приказом Федерального фонда обязательного медицинского страхования от 28.02.2014 N 19 "Об утверждении формы N 8 "Сведения о численности лиц, застрахованных по обязательному медицинскому страхованию" и порядок ее ведения"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на 1 января - до 25 апреля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на 1 апреля - до 10 июля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на 1 июля - до 10 октября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на 1 октября - до 15 января следующего года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государственное некоммерческое финансово-кредитное учреждение Кировский областной территориальный фонд обязательного медицинского страхования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Представление в администрации муниципальных районов, муниципальных округов и городских округов Кировской области информации о работодателях, имеющих возможные факторы рисков теневой занятости или выплаты заработной платы "в конверте":</w:t>
            </w:r>
          </w:p>
          <w:p w:rsidR="00A879FF" w:rsidRDefault="00A879FF">
            <w:pPr>
              <w:pStyle w:val="ConsPlusNormal"/>
              <w:jc w:val="both"/>
            </w:pPr>
            <w:proofErr w:type="gramStart"/>
            <w:r>
              <w:t>выплачивающих</w:t>
            </w:r>
            <w:proofErr w:type="gramEnd"/>
            <w:r>
              <w:t xml:space="preserve"> заработную плату работникам ниже МРОТ или ниже средней заработной платы по соответствующему виду экономической деятельности в Кировской области;</w:t>
            </w:r>
          </w:p>
          <w:p w:rsidR="00A879FF" w:rsidRDefault="00A879FF">
            <w:pPr>
              <w:pStyle w:val="ConsPlusNormal"/>
              <w:jc w:val="both"/>
            </w:pPr>
            <w:r>
              <w:t>осуществляющих финансово-хозяйственную деятельность и отражающих минимальную численность работников (до 1 человека), не представляющих сведения о доходах физических лиц по форме 2-НДФЛ, не перечисляющих НДФЛ в бюджет;</w:t>
            </w:r>
          </w:p>
          <w:p w:rsidR="00A879FF" w:rsidRDefault="00A879FF">
            <w:pPr>
              <w:pStyle w:val="ConsPlusNormal"/>
              <w:jc w:val="both"/>
            </w:pPr>
            <w:r>
              <w:t>у которых произошло снижение среднесписочной численности работников более чем на 30% по сравнению с предыдущим периодом;</w:t>
            </w:r>
          </w:p>
          <w:p w:rsidR="00A879FF" w:rsidRDefault="00A879FF">
            <w:pPr>
              <w:pStyle w:val="ConsPlusNormal"/>
              <w:jc w:val="both"/>
            </w:pPr>
            <w:r>
              <w:t>предоставляющих "нулевую" отчетность по НДФЛ с одновременным представлением "ненулевой отчетности" по другим налогам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3 месяца - до 25 мая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6 месяцев - до 25 августа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9 месяцев - до 25 ноября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12 месяцев - до 25 февраля следующего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Федеральной налоговой службы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Анализ информации о работодателях, </w:t>
            </w:r>
            <w:r>
              <w:lastRenderedPageBreak/>
              <w:t>имеющих возможные факторы рисков теневой занятости или выплаты заработной платы "в конверте" (далее - работодатели), перечень которых представлен Управлением Федеральной налоговой службы по Кировской области (далее - перечень), для приглашения работодателей из указанного перечня на заседания территориальных комиссий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органы местного </w:t>
            </w:r>
            <w:r>
              <w:lastRenderedPageBreak/>
              <w:t>самоуправления муниципальных районов, муниципальных 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Рассмотрение деятельности работодателей, а также физических лиц, не имеющих статуса самозанятого гражданина или индивидуального предпринимателя, на заседаниях территориальных комиссий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не реже одного раза в месяц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территориальные комиссии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работодателями решений, принятых на заседаниях территориальных комиссий, до получения конечного результата - добровольного вывода заработной платы "из тени" и дополнительных поступлений в бюджет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органы местного самоуправления муниципальных районов, муниципальных 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Представление в управление государственной </w:t>
            </w:r>
            <w:proofErr w:type="gramStart"/>
            <w:r>
              <w:t>службы занятости населения Кировской области графика заседаний территориальных комиссий</w:t>
            </w:r>
            <w:proofErr w:type="gramEnd"/>
            <w:r>
              <w:t xml:space="preserve"> на очередной квартал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 xml:space="preserve">(на I квартал - до 10 декабря года, предшествующего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  <w:p w:rsidR="00A879FF" w:rsidRDefault="00A879FF">
            <w:pPr>
              <w:pStyle w:val="ConsPlusNormal"/>
              <w:jc w:val="center"/>
            </w:pPr>
            <w:r>
              <w:t>на II квартал - до 10 марта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на III квартал - до 10 июня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на IV квартал - до 10 сентября текущего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органы местного самоуправления муниципальных районов, муниципальных 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proofErr w:type="gramStart"/>
            <w:r>
              <w:t>Представление в управление государственной службы занятости населения Кировской области по установленной форме информации об участии представителей районной прокуратуры, районных отделов внутренних дел и налоговых органов в заседаниях территориальных комиссий</w:t>
            </w:r>
            <w:proofErr w:type="gramEnd"/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3 месяца - до 7 апреля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6 месяцев - до 7 июля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9 месяцев - до 7 октября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12 месяцев - до 31 декабря текущего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органы местного самоуправления муниципальных районов, муниципальных 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Участие в проведении межведомственных информационных визитов в целях информирования </w:t>
            </w:r>
            <w:r>
              <w:lastRenderedPageBreak/>
              <w:t>граждан и работодателей о рисках и последствиях сокрытия заработной платы, а также выявления фактов использования работодателями наемного труда работников без оформления с ними трудового договора, а также выполнения работ за вознаграждение физическими лицами, не имеющими статуса самозанятого гражданина или индивидуального предпринимателя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ежемесячно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территориальные комиссии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Представление в Государственную инспекцию труда в Кировской области и районную прокуратуру информации о выявленных нарушениях трудового законодательства, закрепленных протокольными решениями территориальной комиссии или межведомственных информационных визитов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 мере выявления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органы местного самоуправления муниципальных районов, муниципальных 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Представление в управление государственной службы занятости населения Кировской области по установленным формам информации о результатах работы по снижению численности неформально занятого населения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 xml:space="preserve">ежемесячно до 7-го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органы местного самоуправления муниципальных районов, муниципальных 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Представление </w:t>
            </w:r>
            <w:proofErr w:type="gramStart"/>
            <w:r>
              <w:t>в Управление Федеральной налоговой службы по Кировской области по установленной форме информации о результатах работы территориальной комиссии с приложением</w:t>
            </w:r>
            <w:proofErr w:type="gramEnd"/>
            <w:r>
              <w:t xml:space="preserve"> выписок из протоколов заседаний территориальных комиссий и протоколов информационных визитов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3 месяца - до 7 апреля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6 месяцев - до 7 июля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9 месяцев - до 7 октября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12 месяцев - до 31 декабря текущего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органы местного самоуправления муниципальных районов, муниципальных 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Представление информации по установленной форме:</w:t>
            </w:r>
          </w:p>
          <w:p w:rsidR="00A879FF" w:rsidRDefault="00A879FF">
            <w:pPr>
              <w:pStyle w:val="ConsPlusNormal"/>
              <w:jc w:val="both"/>
            </w:pPr>
            <w:r>
              <w:t>в территориальные комиссии - о суммах дополнительных поступлений НДФЛ и страховых взносов на основании деятельности территориальных комиссий;</w:t>
            </w:r>
          </w:p>
          <w:p w:rsidR="00A879FF" w:rsidRDefault="00A879FF">
            <w:pPr>
              <w:pStyle w:val="ConsPlusNormal"/>
              <w:jc w:val="both"/>
            </w:pPr>
            <w:r>
              <w:t xml:space="preserve">в управление государственной службы занятости населения Кировской области - о суммах дополнительных поступлений НДФЛ и страховых взносов на основании </w:t>
            </w:r>
            <w:r>
              <w:lastRenderedPageBreak/>
              <w:t>межведомственной работы по легализации заработной платы и трудовых отношений, в том числе деятельности территориальных комиссий, в разрезе муниципальных районов, муниципальных округов и городских округов Кировской области и в целом по Кировской области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3 месяца - до 25 мая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6 месяцев - до 25 августа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9 месяцев - до 25 ноября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12 месяцев - до 25 марта следующего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Федеральной налоговой службы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Проведение оценки эффективности деятельности территориальных комиссий и представление результатов такой оценки органам местного самоуправления муниципальных районов, муниципальных округов и городских округов Кировской области, органам прокуратуры и главному федеральному инспектору по Кировской области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3 месяца - до 30 апреля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6 месяцев - до 30 июля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9 месяцев - до 30 октября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12 месяцев - до 30 января следующего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proofErr w:type="gramStart"/>
            <w:r>
              <w:t>Организация расширенных выездных или в формате видео-конференц-связи заседаний территориальных комиссий с участием представителей структур территориальных органов федеральных органов исполнительной власти, которые включены в состав областной координационной межведомственной комиссии по вопросам своевременной выплаты заработной платы и легализации трудовых отношений</w:t>
            </w:r>
            <w:proofErr w:type="gramEnd"/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 отдельному графику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государственной службы занятости населения Кировской области, Управление Федеральной налоговой службы по Кировской области &lt;*&gt;, Государственная инспекция труда в Кировской области &lt;*&gt;, Главное управление Федеральной службы судебных приставов по Кировской области &lt;*&gt;, следственное управление Следственного комитета 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proofErr w:type="gramStart"/>
            <w:r>
              <w:t xml:space="preserve">Представление в управление государственной службы занятости населения Кировской области данных индивидуального (персонифицированного) учета </w:t>
            </w:r>
            <w:r>
              <w:lastRenderedPageBreak/>
              <w:t>физических лиц, оформивших статус самозанятого гражданина или индивидуального предпринимателя, а также лиц, заключивших трудовые договоры в ходе реализации мер, направленных на снижение численности неформально занятого населения (далее - данные индивидуального (персонифицированного) учета), для сверки с данными Фонда пенсионного и социального страхования Российской Федерации</w:t>
            </w:r>
            <w:proofErr w:type="gramEnd"/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I квартал - до 18 апреля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II квартал - до 18 июля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lastRenderedPageBreak/>
              <w:t>за III квартал - до 18 октября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IV квартал - до 18 января следующего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lastRenderedPageBreak/>
              <w:t xml:space="preserve">органы местного самоуправления муниципальных районов, муниципальных </w:t>
            </w:r>
            <w:r>
              <w:lastRenderedPageBreak/>
              <w:t>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Проведение сверки данных индивидуального (персонифицированного) учета с данными Фонда пенсионного и социального страхования Российской Федерации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I квартал - до 30 сентября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II квартал - до 30 декабря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III квартал - до 30 марта следующего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IV квартал - до 30 июня следующего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государственной службы занятости населения Кировской области, Отделение Фонда пенсионного и социального страхования 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Проведение мониторинга численности незанятых трудовой деятельностью граждан трудоспособного возраста, зарегистрированных по месту жительства на территории Кировской области и не состоящих на регистрационном учете в кировских областных государственных казенных учреждениях центрах занятости населения, в разрезе муниципальных районов, муниципальных округов и городских округов Кировской области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ежегодно до 10 февраля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Проведение мониторинга деятельности юридических лиц и индивидуальных предпринимателей, заключивших по результатам торгов муниципальные контракты на выполнение ремонтно-строительных работ, благоустройства территории, оказание транспортных и клининговых услуг, на предмет оформления трудовых отношений с работниками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органы местного самоуправления муниципальных районов, муниципальных 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Проведение мероприятий в отношении юридических лиц и индивидуальных предпринимателей, являющихся </w:t>
            </w:r>
            <w:r>
              <w:lastRenderedPageBreak/>
              <w:t xml:space="preserve">исполнителями государственных и муниципальных контрактов, с целью выявления фактов ненадлежащего оформления трудовых отношений в организациях - исполнителях государственных (муниципальных) контрактов и информирование </w:t>
            </w:r>
            <w:proofErr w:type="gramStart"/>
            <w:r>
              <w:t>управления государственной службы занятости населения Кировской области</w:t>
            </w:r>
            <w:proofErr w:type="gramEnd"/>
            <w:r>
              <w:t xml:space="preserve"> о выявленных фактах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 xml:space="preserve">ежеквартально до 30-го числа месяца, следующего за </w:t>
            </w:r>
            <w:r>
              <w:lastRenderedPageBreak/>
              <w:t>отчетным периодом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lastRenderedPageBreak/>
              <w:t xml:space="preserve">Управление Министерства внутренних дел </w:t>
            </w:r>
            <w:r>
              <w:lastRenderedPageBreak/>
              <w:t>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Информирование </w:t>
            </w:r>
            <w:proofErr w:type="gramStart"/>
            <w:r>
              <w:t>управления государственной службы занятости населения Кировской области</w:t>
            </w:r>
            <w:proofErr w:type="gramEnd"/>
            <w:r>
              <w:t xml:space="preserve"> и Государственной инспекции труда в Кировской области о выявленных фактах неформальной занятости, выплаты заработной платы "в конверте" в отношении иностранных граждан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 до 30-го числа месяца, следующего за отчетным периодом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Управление Министерства внутренних дел 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Представление в управление государственной </w:t>
            </w:r>
            <w:proofErr w:type="gramStart"/>
            <w:r>
              <w:t>службы занятости населения Кировской области информации</w:t>
            </w:r>
            <w:proofErr w:type="gramEnd"/>
            <w:r>
              <w:t xml:space="preserve"> о выявленных фактах трудоустройства граждан по гражданско-правовым договорам при фактическом исполнении ими трудовых обязанностей в организациях, учредителями (участниками) которых являются администрации муниципальных районов, муниципальных округов и городских округов Кировской области или органы исполнительной власти Кировской области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I квартал - до 5 апреля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II квартал - до 5 июля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III квартал - до 5 октября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IV квартал - до 31 декабря текущего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Отделение Фонда пенсионного и социального страхования Российской Федерации по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Проведение разъяснительной работы с руководителями организаций, учредителями (участниками) которых являются администрации муниципальных районов, муниципальных округов и городских округов Кировской области, в которых выявлены факты трудоустройства граждан по гражданско-правовым договорам при фактическом исполнении ими трудовых обязанностей, по вопросу недопущения подмены трудовых отношений гражданско-правовыми отношениями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органы местного самоуправления муниципальных районов, муниципальных округов и городских округов Кировской области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Проведение информационной кампании среди граждан о последствиях неофициального трудоустройства и </w:t>
            </w:r>
            <w:r>
              <w:lastRenderedPageBreak/>
              <w:t>получения заработной платы "в конверте" и работодателей об ответственности за уклонение от заключения трудовых договоров с работниками. Размещение в средствах массовой информации публикаций о проведенной работе по легализации заработной платы и трудовых отношений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proofErr w:type="gramStart"/>
            <w:r>
              <w:t xml:space="preserve">органы местного самоуправления муниципальных </w:t>
            </w:r>
            <w:r>
              <w:lastRenderedPageBreak/>
              <w:t>районов, муниципальных округов и городских округов Кировской области &lt;*&gt;, Государственная инспекция труда в Кировской области &lt;*&gt;, Отделение Фонда пенсионного и социального страхования Российской Федерации по Кировской области &lt;*&gt;, Управление Федеральной налоговой службы по Кировской области &lt;*&gt;, Кировский областной союз организаций профсоюзов "Федерация профсоюзных организаций Кировской области" &lt;*&gt;, органы исполнительной власти Кировской области</w:t>
            </w:r>
            <w:proofErr w:type="gramEnd"/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Представление в управление государственной службы занятости населения Кировской области по установленной форме информации о проведенной информационно-разъяснительной работе по легализации заработной платы и трудовых отношений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I квартал - до 5 апреля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II квартал - до 5 июля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III квартал - до 5 октября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IV квартал - до 31 декабря текущего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кировские областные государственные казенные учреждения центры занятости населения, Кировский областной союз организаций профсоюзов "Федерация профсоюзных организаций Кировской области" &lt;*&gt;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Подготовка сводного аналитического отчета о результатах работы по легализации заработной платы и </w:t>
            </w:r>
            <w:r>
              <w:lastRenderedPageBreak/>
              <w:t>трудовых отношений в регионе и размещение отчета на интерактивном портале службы занятости населения Кировской области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  <w:p w:rsidR="00A879FF" w:rsidRDefault="00A879FF">
            <w:pPr>
              <w:pStyle w:val="ConsPlusNormal"/>
              <w:jc w:val="center"/>
            </w:pPr>
            <w:r>
              <w:t>(за 3 месяца - до 15 мая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lastRenderedPageBreak/>
              <w:t>за 6 месяцев - до 15 августа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9 месяцев - до 15 ноября текущего года;</w:t>
            </w:r>
          </w:p>
          <w:p w:rsidR="00A879FF" w:rsidRDefault="00A879FF">
            <w:pPr>
              <w:pStyle w:val="ConsPlusNormal"/>
              <w:jc w:val="center"/>
            </w:pPr>
            <w:r>
              <w:t>за 12 месяцев - до 15 февраля следующего года)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lastRenderedPageBreak/>
              <w:t xml:space="preserve">управление государственной службы занятости </w:t>
            </w:r>
            <w:r>
              <w:lastRenderedPageBreak/>
              <w:t>населения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Мероприятия органов исполнительной власти Кировской области по выявлению и пресечению теневой занятости в высокорисковых отраслях экономики Кировской области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</w:pPr>
          </w:p>
        </w:tc>
        <w:tc>
          <w:tcPr>
            <w:tcW w:w="2098" w:type="dxa"/>
          </w:tcPr>
          <w:p w:rsidR="00A879FF" w:rsidRDefault="00A879FF">
            <w:pPr>
              <w:pStyle w:val="ConsPlusNormal"/>
            </w:pP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proofErr w:type="gramStart"/>
            <w:r>
              <w:t>Проведение совместно с отраслевыми объединениями работодателей, Агропромышленным союзом товаропроизводителей (работодателей) Кировской области, Кировским союзом промышленников и предпринимателей (Региональным объединением работодателей) разъяснительной работы с работодателями по вопросам необходимости соблюдения норм трудового законодательства и иных нормативных правовых актов, содержащих нормы трудового права, в части необходимости оформления трудовых отношений в соответствии с трудовым законодательством и негативных последствий неформальной занятости</w:t>
            </w:r>
            <w:proofErr w:type="gramEnd"/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органы исполнительной власти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33.2.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>Проведение лесными инспекторами опроса рабочих, занятых на лесозаготовках, в ходе патрулирования лесов. Направление опросных листов, содержащих информацию о предприятиях и количестве лиц, осуществляющих непосредственно лесосечные работы, в Управление Федеральной налоговой службы по Кировской области для анализа и проведения мероприятий по легализации налоговой базы по НДФЛ и страховым взносам и легализации трудовых отношений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министерство лесного хозяйства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t>33.3.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Проведение совместно с центром "Мой бизнес" Кировской области информационной кампании среди населения о преимуществах статуса самозанятого гражданина и возможности получения поддержки для </w:t>
            </w:r>
            <w:r>
              <w:lastRenderedPageBreak/>
              <w:t>данной категории граждан, в том числе о необходимости оформления статуса самозанятого и уплате налога с получаемого дохода гражданами, осуществляющими сдачу квартир в аренду. Проведение разъяснительной работы с самозанятыми гражданами, доход которых приближается к предельно допустимому лимиту (2,4 млн. рублей в год), о необходимости оформления статуса индивидуального предпринимателя или создания юридического лица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A879FF">
        <w:tc>
          <w:tcPr>
            <w:tcW w:w="680" w:type="dxa"/>
          </w:tcPr>
          <w:p w:rsidR="00A879FF" w:rsidRDefault="00A879FF">
            <w:pPr>
              <w:pStyle w:val="ConsPlusNormal"/>
              <w:jc w:val="center"/>
            </w:pPr>
            <w:r>
              <w:lastRenderedPageBreak/>
              <w:t>33.4.</w:t>
            </w:r>
          </w:p>
        </w:tc>
        <w:tc>
          <w:tcPr>
            <w:tcW w:w="4025" w:type="dxa"/>
          </w:tcPr>
          <w:p w:rsidR="00A879FF" w:rsidRDefault="00A879FF">
            <w:pPr>
              <w:pStyle w:val="ConsPlusNormal"/>
              <w:jc w:val="both"/>
            </w:pPr>
            <w:r>
              <w:t xml:space="preserve">Проведение во взаимодействии с Управлением Государственной </w:t>
            </w:r>
            <w:proofErr w:type="gramStart"/>
            <w: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>
              <w:t xml:space="preserve"> по Кировской области, Управлением Федеральной налоговой службы по Кировской области, территориальным отделом государственного автодорожного надзора по Кировской области контрольно-рейдовых мероприятий по выявлению и пресечению деятельности нелегальных перевозчиков на территории Кировской области</w:t>
            </w:r>
          </w:p>
        </w:tc>
        <w:tc>
          <w:tcPr>
            <w:tcW w:w="2268" w:type="dxa"/>
          </w:tcPr>
          <w:p w:rsidR="00A879FF" w:rsidRDefault="00A879FF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98" w:type="dxa"/>
          </w:tcPr>
          <w:p w:rsidR="00A879FF" w:rsidRDefault="00A879FF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</w:tbl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ind w:firstLine="540"/>
        <w:jc w:val="both"/>
      </w:pPr>
      <w:r>
        <w:t>--------------------------------</w:t>
      </w:r>
    </w:p>
    <w:p w:rsidR="00A879FF" w:rsidRDefault="00A879FF">
      <w:pPr>
        <w:pStyle w:val="ConsPlusNormal"/>
        <w:spacing w:before="220"/>
        <w:ind w:firstLine="540"/>
        <w:jc w:val="both"/>
      </w:pPr>
      <w:r>
        <w:t>&lt;*&gt; Органы и организации, участвующие в реализации плана мероприятий по согласованию.</w:t>
      </w: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jc w:val="both"/>
      </w:pPr>
    </w:p>
    <w:p w:rsidR="00A879FF" w:rsidRDefault="00A879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4751B" w:rsidRDefault="00C4751B"/>
    <w:sectPr w:rsidR="00C4751B" w:rsidSect="00877BB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FF"/>
    <w:rsid w:val="000C00BF"/>
    <w:rsid w:val="00A879FF"/>
    <w:rsid w:val="00C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9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9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7765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29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7915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2024-03-11T11:11:00Z</dcterms:created>
  <dcterms:modified xsi:type="dcterms:W3CDTF">2024-03-11T11:12:00Z</dcterms:modified>
</cp:coreProperties>
</file>