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C6" w:rsidRPr="00B70B24" w:rsidRDefault="000656CD"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t>Порядок и сроки признания безвестно отсутствующим, умершим участника СВО</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Внесенные в гражданское законодательство изменения позволяют заинтересованным лицам в судебном порядке признать участника специальной военной операции безвестно отсутствующим, если в течении 6 месяцев отсутствуют сведения о его нахождении, в том числе в случае, если такие сведения не предоставлены членам семьи командиром воинской части и иным уполномоченным должностным лицом.</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По истечении 3 месяцев после получения статуса безвестно отсутствующего члены семьи участника СВО, а также если гражданин пропал без вести при обстоятельствах, угрожающих смертью или дающих основания предполагать его гибель от определенного несчастного случая, вправе инициировать в судебном порядке процедуру признания родственника погибшим.</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Лица, находящиеся на иждивении погибшего, в последующем смогут обратиться в компетентные органы за назначением пенсии по потере кормильца, реализацией наследственных прав, а также решением вопросов, касающихся правоотношений в кредитно-банковской сфере.</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Ранее военнослужащих можно было признать умершими в судебном порядке по истечении 2 лет с момента окончания военных действий.</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Подобные заявления рассматриваются с участием прокурора.</w:t>
      </w: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t>Порядок обжалования бездействия пристава-исполнителя</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xml:space="preserve">Жалоба на бездействие судебного пристава-исполнителя может быть подана в порядке ведомственной </w:t>
      </w:r>
      <w:proofErr w:type="gramStart"/>
      <w:r w:rsidRPr="00B70B24">
        <w:rPr>
          <w:color w:val="333333"/>
          <w:sz w:val="28"/>
          <w:szCs w:val="28"/>
        </w:rPr>
        <w:t>подчиненности  старшему</w:t>
      </w:r>
      <w:proofErr w:type="gramEnd"/>
      <w:r w:rsidRPr="00B70B24">
        <w:rPr>
          <w:color w:val="333333"/>
          <w:sz w:val="28"/>
          <w:szCs w:val="28"/>
        </w:rPr>
        <w:t xml:space="preserve"> судебному приставу районного отдела Службы. Срок на рассмотрение жалобы – 10 дней.</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 xml:space="preserve">По результатам рассмотрения жалобы, поданной в порядке подчиненности, должностное лицо, ее рассмотревшее, обязано вынести решение в форме постановления о признании жалобы обоснований (частично обоснованной) или необоснованной с направлением копии в адрес заявителя в 3-х </w:t>
      </w:r>
      <w:proofErr w:type="spellStart"/>
      <w:r w:rsidRPr="00B70B24">
        <w:rPr>
          <w:color w:val="000000"/>
          <w:sz w:val="28"/>
          <w:szCs w:val="28"/>
        </w:rPr>
        <w:t>дневный</w:t>
      </w:r>
      <w:proofErr w:type="spellEnd"/>
      <w:r w:rsidRPr="00B70B24">
        <w:rPr>
          <w:color w:val="000000"/>
          <w:sz w:val="28"/>
          <w:szCs w:val="28"/>
        </w:rPr>
        <w:t xml:space="preserve"> срок со дня принятия.</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При несогласии принятое решение может быть обжаловано руководителю Главного Управления службы судебных приставов по региону или в суд по правилам, установленным Кодексом административного судопроизводства Российской Федерации.</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Административное исковое заявление подается в суд района по месту нахождения службы судебных приставов.</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Жалоба или заявление в суд должны быть поданы в течение 10 дней с момента, когда лицо узнало о бездействии.</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Поскольку органы прокуратуры осуществляют надзор за деятельностью судебных приставов-исполнителей, жалоба на их действия может быть также направлена и в территориальные органы прокуратуры.</w:t>
      </w:r>
    </w:p>
    <w:p w:rsidR="000656CD" w:rsidRPr="00B70B24" w:rsidRDefault="000656CD"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Как правило, прокуроры рассматривают жалобы, если по ним уже было принято решение руководителя службы, с которым заявитель не согласен и отсутствует решение суда по этому поводу.</w:t>
      </w: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0656CD" w:rsidRPr="00B70B24" w:rsidRDefault="000656CD"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Осторожно, мошенники!</w:t>
      </w:r>
    </w:p>
    <w:p w:rsidR="00C5623D" w:rsidRPr="00B70B24" w:rsidRDefault="00C5623D" w:rsidP="00B70B2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lang w:eastAsia="ru-RU"/>
        </w:rPr>
      </w:pPr>
    </w:p>
    <w:p w:rsidR="000656CD" w:rsidRPr="000656CD" w:rsidRDefault="000656CD" w:rsidP="00B70B2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Способы совершения дистанционных мошенничеств постоянно видоизменяются. Сейчас злоумышленники могут представиться по телефону сотрудником банка, правоохранительного органа, медицинским или социальным работником, государственным служащим.</w:t>
      </w:r>
    </w:p>
    <w:p w:rsidR="000656CD" w:rsidRPr="000656CD" w:rsidRDefault="000656CD" w:rsidP="00B70B2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Фразы, после которых нужно </w:t>
      </w:r>
      <w:r w:rsidRPr="00B70B24">
        <w:rPr>
          <w:rFonts w:ascii="Times New Roman" w:eastAsia="Times New Roman" w:hAnsi="Times New Roman" w:cs="Times New Roman"/>
          <w:bCs/>
          <w:sz w:val="28"/>
          <w:szCs w:val="28"/>
          <w:bdr w:val="none" w:sz="0" w:space="0" w:color="auto" w:frame="1"/>
          <w:lang w:eastAsia="ru-RU"/>
        </w:rPr>
        <w:t>немедленно прекратить разговор</w:t>
      </w:r>
      <w:r w:rsidRPr="000656CD">
        <w:rPr>
          <w:rFonts w:ascii="Times New Roman" w:eastAsia="Times New Roman" w:hAnsi="Times New Roman" w:cs="Times New Roman"/>
          <w:sz w:val="28"/>
          <w:szCs w:val="28"/>
          <w:lang w:eastAsia="ru-RU"/>
        </w:rPr>
        <w:t>:</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В целях предотвращения кражи Ваших денег сообщите свои персональные данные.</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На Вас пытаются оформить кредит. Чтобы не допустить этого, сообщите данные своей банковской карты.</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На Вас оформили кредит. Чтобы избежать неблагоприятных последствий возьмите новый кредит и передайте полученные деньги нашему сотруднику. Банк разберется в сложившейся ситуации.</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Неизвестные пытаются похитить Ваши деньги. Чтобы помешать им переведите их на безопасный счет, который я сообщу.</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Чтобы не позволить мошенникам украсть Ваши деньги снимите их со счета и передайте нашему сотруднику.</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Вашу квартиру пытаются переоформить на третье лицо. Чтобы этого не допустить возьмите кредит под залог квартиры и передайте деньги нашему сотруднику.</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Ваши деньги пытаются украсть. Вы не должны никому сообщать о нашем разговоре, иначе будете привлечены к уголовной ответственности за разглашение конфиденциальной информации.</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Чтобы не позволить мошенникам украсть Ваши деньги продиктуйте код из полученного Вами СМС.</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Ваш родственник совершил правонарушение (либо является потерпевшим). Для оказания ему помощи переведите денежные средства на счет, который я сообщу.</w:t>
      </w:r>
    </w:p>
    <w:p w:rsidR="000656CD" w:rsidRPr="000656CD" w:rsidRDefault="000656CD" w:rsidP="00B70B2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8"/>
          <w:szCs w:val="28"/>
          <w:lang w:eastAsia="ru-RU"/>
        </w:rPr>
      </w:pPr>
      <w:r w:rsidRPr="000656CD">
        <w:rPr>
          <w:rFonts w:ascii="Times New Roman" w:eastAsia="Times New Roman" w:hAnsi="Times New Roman" w:cs="Times New Roman"/>
          <w:color w:val="333333"/>
          <w:sz w:val="28"/>
          <w:szCs w:val="28"/>
          <w:lang w:eastAsia="ru-RU"/>
        </w:rPr>
        <w:t>За Вами числится задолженность. Чтобы у вас не конфисковали все имущество срочно переведите сумму долга на счет, который я скажу.</w:t>
      </w:r>
    </w:p>
    <w:p w:rsidR="000656CD" w:rsidRPr="00B70B24" w:rsidRDefault="000656C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C5623D" w:rsidRPr="00B70B24" w:rsidRDefault="00C5623D" w:rsidP="00B70B24">
      <w:pPr>
        <w:spacing w:after="0" w:line="240" w:lineRule="auto"/>
        <w:ind w:firstLine="709"/>
        <w:jc w:val="both"/>
        <w:rPr>
          <w:rFonts w:ascii="Times New Roman" w:hAnsi="Times New Roman" w:cs="Times New Roman"/>
          <w:b/>
          <w:bCs/>
          <w:color w:val="333333"/>
          <w:sz w:val="28"/>
          <w:szCs w:val="28"/>
          <w:shd w:val="clear" w:color="auto" w:fill="FFFFFF"/>
        </w:rPr>
      </w:pPr>
      <w:r w:rsidRPr="00B70B24">
        <w:rPr>
          <w:rFonts w:ascii="Times New Roman" w:hAnsi="Times New Roman" w:cs="Times New Roman"/>
          <w:b/>
          <w:bCs/>
          <w:color w:val="333333"/>
          <w:sz w:val="28"/>
          <w:szCs w:val="28"/>
          <w:shd w:val="clear" w:color="auto" w:fill="FFFFFF"/>
        </w:rPr>
        <w:lastRenderedPageBreak/>
        <w:t>К</w:t>
      </w:r>
      <w:r w:rsidRPr="00B70B24">
        <w:rPr>
          <w:rFonts w:ascii="Times New Roman" w:hAnsi="Times New Roman" w:cs="Times New Roman"/>
          <w:b/>
          <w:bCs/>
          <w:color w:val="333333"/>
          <w:sz w:val="28"/>
          <w:szCs w:val="28"/>
          <w:shd w:val="clear" w:color="auto" w:fill="FFFFFF"/>
        </w:rPr>
        <w:t>то несет ответственность за получение ребенком травмы в школе</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shd w:val="clear" w:color="auto" w:fill="FFFFFF"/>
        </w:rPr>
      </w:pP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В силу ст. 28 Федерального закона от 29.12.2012 № 273-ФЗ «Об образовании в Российской Федерации» (далее по тексту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Образовательная организация несет ответственность за жизнь и здоровье обучающихся.</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В соответствии с п. 9 ч. 1 ст. 34 Закона об образовании всем обучающимся предоставляется право на охрану жизни и здоровья.</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Исходя из положений ст. ст. 151 и 1101 ГК РФ в этом случае возможна и компенсация морального вреда.</w:t>
      </w: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C5623D" w:rsidRPr="00B70B24" w:rsidRDefault="00C5623D" w:rsidP="00B70B24">
      <w:pPr>
        <w:spacing w:after="0" w:line="240" w:lineRule="auto"/>
        <w:ind w:firstLine="709"/>
        <w:jc w:val="both"/>
        <w:rPr>
          <w:rFonts w:ascii="Times New Roman" w:hAnsi="Times New Roman" w:cs="Times New Roman"/>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Ответственность за неисполнение обязанностей по воспитанию несовершеннолетних</w:t>
      </w:r>
    </w:p>
    <w:p w:rsidR="00B70B24" w:rsidRDefault="00B70B24" w:rsidP="00B70B24">
      <w:pPr>
        <w:pStyle w:val="a3"/>
        <w:shd w:val="clear" w:color="auto" w:fill="FFFFFF"/>
        <w:spacing w:before="0" w:beforeAutospacing="0" w:after="0" w:afterAutospacing="0"/>
        <w:ind w:firstLine="709"/>
        <w:jc w:val="both"/>
        <w:rPr>
          <w:color w:val="333333"/>
          <w:sz w:val="28"/>
          <w:szCs w:val="28"/>
        </w:rPr>
      </w:pP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 соответствии со статьей 38 Конституции Российской Федерации семьи, материнства и детства находится под защитой со стороны государства. В Семейном кодексе Российской Федерации установлены обязанности родителей по воспитанию, образованию и защите прав и интересов детей.</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Так, родителям надлежит заботиться о здоровье, физическом, психическом, духовном и нравственном развитии своих детей.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интересам детей, несут ответственность в установленном законом порядке. За неисполнение родителем возложенных на него обязанностей по воспитанию детей законодательством предусмотрена как административная, так и уголовная ответственность.</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xml:space="preserve">В случае, если родитель, а также законный представитель (усыновитель, опекун) ребенка не исполняет, а также </w:t>
      </w:r>
      <w:proofErr w:type="spellStart"/>
      <w:r w:rsidRPr="00B70B24">
        <w:rPr>
          <w:color w:val="333333"/>
          <w:sz w:val="28"/>
          <w:szCs w:val="28"/>
        </w:rPr>
        <w:t>ненадлежаще</w:t>
      </w:r>
      <w:proofErr w:type="spellEnd"/>
      <w:r w:rsidRPr="00B70B24">
        <w:rPr>
          <w:color w:val="333333"/>
          <w:sz w:val="28"/>
          <w:szCs w:val="28"/>
        </w:rPr>
        <w:t xml:space="preserve"> исполняет свои обязанности по воспитанию, обучению, защите прав и интересов несовершеннолетних он может быть привлечен к административной ответственности по статье 5.35 Кодекса Российской Федерации об административных правонарушениях.</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 семейные скандалы в присутствии детей, не обеспечение ребенка питанием, одеждой по сезону, непосещение двумя несовершеннолетними образовательного учреждения без уважительных причин, нахождение детей в заброшенных зданиях.</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 соответствии с положениями статьи 156 Уголовного кодекса Российской Федерации (далее – УК РФ) за неисполнение или ненадлежащее исполнение обязанности по воспитанию несовершеннолетнего предусмотрена уголовная ответственность. При этом к ответственности за указанное преступление могут быть привлечены как родители (законные представители), так и работники образовательной и иной организации, обязанные осуществлять надзор за несовершеннолетним.</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Ответственность за данное преступление наступает только в том случае, если неисполнением обязанности по воспитанию соединено с жестоким обращением с несовершеннолетним. Жестокое обращение может проявляться физически (применения насилия, лишение или ограничение питания) и психологически (оскорбление, угрозы, лишение сна, отдыха). За данное преступление предусмотрено наказание до лишения свободы сроком до 3-х лет.</w:t>
      </w:r>
    </w:p>
    <w:p w:rsidR="00C5623D" w:rsidRPr="00B70B24" w:rsidRDefault="00C5623D"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Кроме того, за систематическое причинение несовершеннолетнему физических или психических страданий, виновные лица могут быть привлечены к уголовной ответственности по статье 117 УК РФ за истязание.</w:t>
      </w:r>
    </w:p>
    <w:p w:rsidR="00C5623D" w:rsidRPr="00B70B24" w:rsidRDefault="00624152"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Виды работ, где запрещено применение труда несовершеннолетних</w:t>
      </w: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Статьей 265 Трудового кодекса Российской Федерации (далее – ТК РФ) предусмотрено, что работодателю запрещено принимать на работу несовершеннолетних лиц, если трудовой договор с ними предусматривает:</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 работы с вредными и (или) опасными условиями труда, работу, связанную с управлением и движением транспортных средств (постановление Правительства РФ от 25.02.2000 № 163);</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 подземные работы, работу по совместительству (ч. 5 ст. 282 ТК РФ), работу в религиозных организациях (ч. 2 ст. 342 ТК РФ);</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 работу вахтовым методом (ст. 298 ТК РФ);</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 работы, которые могут причинить вред здоровью и нравственному развитию.</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К последнему пункту можно отнести: игорный бизнес, работа в ночных клубах и кабаре, работа по производству, перевозке и торговле спиртными напитками, табачными изделиями, наркотическими или иными токсическими препаратами, материалами эротического содержания.</w:t>
      </w:r>
    </w:p>
    <w:p w:rsidR="00624152" w:rsidRPr="00B70B24" w:rsidRDefault="00624152"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shd w:val="clear" w:color="auto" w:fill="FFFFFF"/>
        </w:rPr>
        <w:t>Также запрещаются переноска и передвижение несовершеннолетними работниками тяжестей, превышающих установленные для них предельные нормы.</w:t>
      </w: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C5623D" w:rsidRPr="00B70B24" w:rsidRDefault="00C5623D"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624152" w:rsidRPr="00B70B24" w:rsidRDefault="00624152"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Порядок привлечения государственных гражданских служащих к дисциплинарной ответственности за несоблюдение антикоррупционных ограничений и запретов</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Порядок привлечения государственных гражданских служащих к дисциплинарной ответственности за несоблюдение антикоррупционных ограничений и запретов регламентирован Трудовым кодексом РФ, Федеральными законами «О государственной гражданской службе» и «О противодействии коррупции».</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За названные правонарушения применяются следующие виды взысканий:</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замечание;</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выговор;</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предупреждение о неполном должностном соответствии;</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 увольнение в связи с утратой доверия.</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Дисциплинарное взыскание может быть наложено не позднее 1 месяца со дня поступления информации о совершении коррупционного правонарушения, не считая периода временной нетрудоспособности, пребывания в отпуске и других случаях отсутствия на службе по уважительным причинам, а также времени проведения проверки и рассмотрения материалов комиссией по урегулированию конфликтов интересов.</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 любом случае взыскание не может быть применено позднее 6 месяцев со дня поступления информации о коррупционном правонарушении.</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Проверку информации в каждом государственном органе обеспечивают подразделения кадровой службы по профилактике коррупционных и иных правонарушений.</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Если же нарушение связано с наличием конфликта интересов, при применении дисциплинарного взыскания учитывается мнение комиссии по урегулированию конфликта интересов.</w:t>
      </w: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Ответственность за пропаганду терроризма</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shd w:val="clear" w:color="auto" w:fill="FFFFFF"/>
        </w:rPr>
      </w:pP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Статье</w:t>
      </w:r>
      <w:r w:rsidRPr="00B70B24">
        <w:rPr>
          <w:color w:val="333333"/>
          <w:sz w:val="28"/>
          <w:szCs w:val="28"/>
          <w:shd w:val="clear" w:color="auto" w:fill="FFFFFF"/>
        </w:rPr>
        <w:t>й 205.2 УК РФ предусмотрена уголовная ответственность за публичные призывы к осуществлению террористической деятельности, публичное оправдание терроризма или пропаганду терроризма.</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Данное преступление относится к категории преступлений против общественной безопасности.</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Публичное оправдание терроризма направлено на то, чтобы вызвать сочувствие, симпатию к террористам, обосновать правильность их преступного поведения.</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Деяния, указанные в статье 205.2 УК РФ, наказываются штрафом в размере от ста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Об ответственности за телефонный терроризм</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shd w:val="clear" w:color="auto" w:fill="FFFFFF"/>
        </w:rPr>
      </w:pP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Наказание за это преступление:</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 штраф в размере от 200 тысяч до 500 тысяч рублей;</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 ограничение свободы на срок до 3 лет;</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 принудительные работы на срок от 2 до 3 лет.</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Административная ответственность за производство и распространение экстремистских материалов</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Статьей 20.29 Кодекса Российской Федерации об административных правонарушениях (далее - КоАП РФ) установлена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пункте 3 статьи 1 Федерального закона от 25.07.2002 № 114-ФЗ «О противодействии экстремистской деятельности» (далее - Федеральный закон № 114-ФЗ), либо их производство или хранение в целях массового распространения, за исключением случаев, предусмотренных частями 4.1 и 6 статьи 13.15, статьями 13.37, 20.3 и 20.3.2 КоАП РФ, если эти действия не содержат признаков уголовно наказуемого деяния.</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Федеральным законом от 13.06.2023 № 231-ФЗ «О внесении изменений в Кодекс Российской Федерации об административных правонарушениях» внесены изменения в ст. 20.29 КоАП РФ. В соответствии с изменениями административная ответственность будет наступать за массовое распространение, производство, хранение не только экстремистских материалов, включенных в опубликованный федеральный список экстремистских материалов, но и иных материалов, отнесенных к экстремистским. Данная норма закона действует с 24.06.2023.</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Согласно статье 1 Федерального закона от 25.07.2002 № 114-ФЗ «О противодействии экстремистской деятельности»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В силу ч. 1 ст. 4.5 КоАП РФ срок давности привлечения к административной ответственности по ст. 20.29 КоАП РФ составляет три месяца.</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lastRenderedPageBreak/>
        <w:t>При длящемся административном правонарушении сроки, предусмотренные ч. 1 ст. 4.5 КоАП РФ, начинают исчисляться со дня обнаружения административного правонарушения (ч. 2 ст. 4.5 КоАП РФ).</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Санкция статьи 20.29 КоАП РФ предусматривает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B70B24" w:rsidRDefault="00B70B24"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216E13" w:rsidRPr="00B70B24" w:rsidRDefault="00216E13" w:rsidP="00B70B24">
      <w:pPr>
        <w:spacing w:after="0" w:line="240" w:lineRule="auto"/>
        <w:ind w:firstLine="709"/>
        <w:jc w:val="both"/>
        <w:rPr>
          <w:rFonts w:ascii="Times New Roman" w:hAnsi="Times New Roman" w:cs="Times New Roman"/>
          <w:b/>
          <w:bCs/>
          <w:color w:val="333333"/>
          <w:sz w:val="28"/>
          <w:szCs w:val="28"/>
          <w:shd w:val="clear" w:color="auto" w:fill="FFFFFF"/>
        </w:rPr>
      </w:pPr>
      <w:r w:rsidRPr="00B70B24">
        <w:rPr>
          <w:rFonts w:ascii="Times New Roman" w:hAnsi="Times New Roman" w:cs="Times New Roman"/>
          <w:b/>
          <w:bCs/>
          <w:color w:val="333333"/>
          <w:sz w:val="28"/>
          <w:szCs w:val="28"/>
          <w:shd w:val="clear" w:color="auto" w:fill="FFFFFF"/>
        </w:rPr>
        <w:lastRenderedPageBreak/>
        <w:t>Х</w:t>
      </w:r>
      <w:r w:rsidRPr="00B70B24">
        <w:rPr>
          <w:rFonts w:ascii="Times New Roman" w:hAnsi="Times New Roman" w:cs="Times New Roman"/>
          <w:b/>
          <w:bCs/>
          <w:color w:val="333333"/>
          <w:sz w:val="28"/>
          <w:szCs w:val="28"/>
          <w:shd w:val="clear" w:color="auto" w:fill="FFFFFF"/>
        </w:rPr>
        <w:t>ищение чужого имущества</w:t>
      </w:r>
    </w:p>
    <w:p w:rsidR="00216E13" w:rsidRPr="00B70B24" w:rsidRDefault="00216E13" w:rsidP="00B70B24">
      <w:pPr>
        <w:spacing w:after="0" w:line="240" w:lineRule="auto"/>
        <w:ind w:firstLine="709"/>
        <w:jc w:val="both"/>
        <w:rPr>
          <w:rFonts w:ascii="Times New Roman" w:hAnsi="Times New Roman" w:cs="Times New Roman"/>
          <w:b/>
          <w:bCs/>
          <w:color w:val="333333"/>
          <w:sz w:val="28"/>
          <w:szCs w:val="28"/>
          <w:shd w:val="clear" w:color="auto" w:fill="FFFFFF"/>
        </w:rPr>
      </w:pP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shd w:val="clear" w:color="auto" w:fill="FFFFFF"/>
        </w:rPr>
        <w:t>В соответствии с п. 5 Постановления Пленума Верховного Суда РФ от 30.11.2017 № 48 «О судебной практике по делам о мошенничестве, присвоении и растрате» </w:t>
      </w:r>
      <w:r w:rsidRPr="00B70B24">
        <w:rPr>
          <w:color w:val="000000"/>
          <w:sz w:val="28"/>
          <w:szCs w:val="28"/>
          <w:shd w:val="clear" w:color="auto" w:fill="FFFFFF"/>
        </w:rPr>
        <w:t>мошенничество,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Если предметом преступления при мошенничестве являются безналичные денежные средства, в том числе электронные денежные средства, то по смыслу положений п. 1 прим. к ст. 158 УК РФ и ст. 128 ГК РФ содеянное должно рассматриваться как хищение чужого имущества.</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Такое преступление следует считать оконченным с момента изъятия денежных средств с банковского счета их владельца или электронных денежных средств, в результате которого владельцу этих денежных средств причинен ущерб.</w:t>
      </w:r>
    </w:p>
    <w:p w:rsidR="00216E13" w:rsidRPr="00B70B24" w:rsidRDefault="00216E13" w:rsidP="00B70B24">
      <w:pPr>
        <w:pStyle w:val="a3"/>
        <w:shd w:val="clear" w:color="auto" w:fill="FFFFFF"/>
        <w:spacing w:before="0" w:beforeAutospacing="0" w:after="0" w:afterAutospacing="0"/>
        <w:ind w:firstLine="709"/>
        <w:jc w:val="both"/>
        <w:rPr>
          <w:color w:val="333333"/>
          <w:sz w:val="28"/>
          <w:szCs w:val="28"/>
        </w:rPr>
      </w:pPr>
      <w:r w:rsidRPr="00B70B24">
        <w:rPr>
          <w:color w:val="333333"/>
          <w:sz w:val="28"/>
          <w:szCs w:val="28"/>
        </w:rPr>
        <w:t>Местом совершения мошенничества, состоящего в хищении безналичных денежных средств, исходя из особенностей предмета и способа данного преступления, является, как правило, место совершения лицом действий, связанных с обманом или злоупотреблением доверием и направленных на незаконное изъятие денежных средств.</w:t>
      </w:r>
    </w:p>
    <w:p w:rsidR="00216E13" w:rsidRPr="00B70B24" w:rsidRDefault="00216E13"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Default="00B70B24" w:rsidP="00B70B24">
      <w:pPr>
        <w:spacing w:after="0" w:line="240" w:lineRule="auto"/>
        <w:ind w:firstLine="709"/>
        <w:jc w:val="both"/>
        <w:rPr>
          <w:rFonts w:ascii="Times New Roman" w:hAnsi="Times New Roman" w:cs="Times New Roman"/>
          <w:b/>
          <w:sz w:val="28"/>
          <w:szCs w:val="28"/>
        </w:rPr>
      </w:pPr>
    </w:p>
    <w:p w:rsidR="00B70B24" w:rsidRPr="00B70B24" w:rsidRDefault="00B70B24" w:rsidP="00B70B24">
      <w:pPr>
        <w:spacing w:after="0" w:line="240" w:lineRule="auto"/>
        <w:ind w:firstLine="709"/>
        <w:jc w:val="both"/>
        <w:rPr>
          <w:rFonts w:ascii="Times New Roman" w:hAnsi="Times New Roman" w:cs="Times New Roman"/>
          <w:b/>
          <w:sz w:val="28"/>
          <w:szCs w:val="28"/>
        </w:rPr>
      </w:pPr>
      <w:r w:rsidRPr="00B70B24">
        <w:rPr>
          <w:rFonts w:ascii="Times New Roman" w:hAnsi="Times New Roman" w:cs="Times New Roman"/>
          <w:b/>
          <w:sz w:val="28"/>
          <w:szCs w:val="28"/>
        </w:rPr>
        <w:lastRenderedPageBreak/>
        <w:t>Могут ли судебные приставы обращать взыскание на пенсию по инвалидности?</w:t>
      </w:r>
    </w:p>
    <w:p w:rsidR="00B70B24" w:rsidRDefault="00B70B24" w:rsidP="00B70B24">
      <w:pPr>
        <w:pStyle w:val="a3"/>
        <w:shd w:val="clear" w:color="auto" w:fill="FFFFFF"/>
        <w:spacing w:before="0" w:beforeAutospacing="0" w:after="0" w:afterAutospacing="0"/>
        <w:ind w:firstLine="709"/>
        <w:jc w:val="both"/>
        <w:rPr>
          <w:color w:val="000000"/>
          <w:sz w:val="28"/>
          <w:szCs w:val="28"/>
        </w:rPr>
      </w:pP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bookmarkStart w:id="0" w:name="_GoBack"/>
      <w:bookmarkEnd w:id="0"/>
      <w:r w:rsidRPr="00B70B24">
        <w:rPr>
          <w:color w:val="000000"/>
          <w:sz w:val="28"/>
          <w:szCs w:val="28"/>
        </w:rPr>
        <w:t>Федеральный закон от 29.05.2024 №112-ФЗ «О внесении изменений в статью 101 Федерального закона «Об исполнительном производстве»» расширил перечень видов доходов должника, на которые не может быть обращено взыскание.</w:t>
      </w: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Так,</w:t>
      </w:r>
      <w:r w:rsidRPr="00B70B24">
        <w:rPr>
          <w:color w:val="000000"/>
          <w:sz w:val="28"/>
          <w:szCs w:val="28"/>
        </w:rPr>
        <w:t xml:space="preserve"> </w:t>
      </w:r>
      <w:r w:rsidRPr="00B70B24">
        <w:rPr>
          <w:color w:val="000000"/>
          <w:sz w:val="28"/>
          <w:szCs w:val="28"/>
        </w:rPr>
        <w:t>взыскание не может быть обращено на:</w:t>
      </w: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 социальную пенсию по инвалидности;</w:t>
      </w: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 федеральную и региональную социальную доплату к пенсии, назначаемую детям-инвалидам, а также инвалидам, признанным недееспособными;</w:t>
      </w: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 выплаты к пенсиям по случаю потери кормильца за счет средств федерального бюджета (сейчас запрет распространяется только на выплаты из бюджетов субъектов Российской Федерации).</w:t>
      </w:r>
    </w:p>
    <w:p w:rsidR="00B70B24" w:rsidRPr="00B70B24" w:rsidRDefault="00B70B24" w:rsidP="00B70B24">
      <w:pPr>
        <w:pStyle w:val="a3"/>
        <w:shd w:val="clear" w:color="auto" w:fill="FFFFFF"/>
        <w:spacing w:before="0" w:beforeAutospacing="0" w:after="0" w:afterAutospacing="0"/>
        <w:ind w:firstLine="709"/>
        <w:jc w:val="both"/>
        <w:rPr>
          <w:color w:val="333333"/>
          <w:sz w:val="28"/>
          <w:szCs w:val="28"/>
        </w:rPr>
      </w:pPr>
      <w:r w:rsidRPr="00B70B24">
        <w:rPr>
          <w:color w:val="000000"/>
          <w:sz w:val="28"/>
          <w:szCs w:val="28"/>
        </w:rPr>
        <w:t>Учитывая это, судебные приставы-исполнители не вправе учитывать перечисленные выше доходы должника при взыскании с него задолженности на основании судебного решения.</w:t>
      </w:r>
    </w:p>
    <w:p w:rsidR="00B70B24" w:rsidRPr="000656CD" w:rsidRDefault="00B70B24">
      <w:pPr>
        <w:rPr>
          <w:b/>
        </w:rPr>
      </w:pPr>
    </w:p>
    <w:sectPr w:rsidR="00B70B24" w:rsidRPr="0006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80CBE"/>
    <w:multiLevelType w:val="multilevel"/>
    <w:tmpl w:val="FCE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C1"/>
    <w:rsid w:val="000656CD"/>
    <w:rsid w:val="00216E13"/>
    <w:rsid w:val="00486CC1"/>
    <w:rsid w:val="00624152"/>
    <w:rsid w:val="00B70B24"/>
    <w:rsid w:val="00C5623D"/>
    <w:rsid w:val="00F2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72FF5-21B9-403F-908D-90BAE81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6CD"/>
    <w:rPr>
      <w:b/>
      <w:bCs/>
    </w:rPr>
  </w:style>
  <w:style w:type="character" w:customStyle="1" w:styleId="important">
    <w:name w:val="important"/>
    <w:basedOn w:val="a0"/>
    <w:rsid w:val="0006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53">
      <w:bodyDiv w:val="1"/>
      <w:marLeft w:val="0"/>
      <w:marRight w:val="0"/>
      <w:marTop w:val="0"/>
      <w:marBottom w:val="0"/>
      <w:divBdr>
        <w:top w:val="none" w:sz="0" w:space="0" w:color="auto"/>
        <w:left w:val="none" w:sz="0" w:space="0" w:color="auto"/>
        <w:bottom w:val="none" w:sz="0" w:space="0" w:color="auto"/>
        <w:right w:val="none" w:sz="0" w:space="0" w:color="auto"/>
      </w:divBdr>
    </w:div>
    <w:div w:id="23681483">
      <w:bodyDiv w:val="1"/>
      <w:marLeft w:val="0"/>
      <w:marRight w:val="0"/>
      <w:marTop w:val="0"/>
      <w:marBottom w:val="0"/>
      <w:divBdr>
        <w:top w:val="none" w:sz="0" w:space="0" w:color="auto"/>
        <w:left w:val="none" w:sz="0" w:space="0" w:color="auto"/>
        <w:bottom w:val="none" w:sz="0" w:space="0" w:color="auto"/>
        <w:right w:val="none" w:sz="0" w:space="0" w:color="auto"/>
      </w:divBdr>
    </w:div>
    <w:div w:id="87624138">
      <w:bodyDiv w:val="1"/>
      <w:marLeft w:val="0"/>
      <w:marRight w:val="0"/>
      <w:marTop w:val="0"/>
      <w:marBottom w:val="0"/>
      <w:divBdr>
        <w:top w:val="none" w:sz="0" w:space="0" w:color="auto"/>
        <w:left w:val="none" w:sz="0" w:space="0" w:color="auto"/>
        <w:bottom w:val="none" w:sz="0" w:space="0" w:color="auto"/>
        <w:right w:val="none" w:sz="0" w:space="0" w:color="auto"/>
      </w:divBdr>
    </w:div>
    <w:div w:id="103308886">
      <w:bodyDiv w:val="1"/>
      <w:marLeft w:val="0"/>
      <w:marRight w:val="0"/>
      <w:marTop w:val="0"/>
      <w:marBottom w:val="0"/>
      <w:divBdr>
        <w:top w:val="none" w:sz="0" w:space="0" w:color="auto"/>
        <w:left w:val="none" w:sz="0" w:space="0" w:color="auto"/>
        <w:bottom w:val="none" w:sz="0" w:space="0" w:color="auto"/>
        <w:right w:val="none" w:sz="0" w:space="0" w:color="auto"/>
      </w:divBdr>
    </w:div>
    <w:div w:id="344553162">
      <w:bodyDiv w:val="1"/>
      <w:marLeft w:val="0"/>
      <w:marRight w:val="0"/>
      <w:marTop w:val="0"/>
      <w:marBottom w:val="0"/>
      <w:divBdr>
        <w:top w:val="none" w:sz="0" w:space="0" w:color="auto"/>
        <w:left w:val="none" w:sz="0" w:space="0" w:color="auto"/>
        <w:bottom w:val="none" w:sz="0" w:space="0" w:color="auto"/>
        <w:right w:val="none" w:sz="0" w:space="0" w:color="auto"/>
      </w:divBdr>
    </w:div>
    <w:div w:id="490947959">
      <w:bodyDiv w:val="1"/>
      <w:marLeft w:val="0"/>
      <w:marRight w:val="0"/>
      <w:marTop w:val="0"/>
      <w:marBottom w:val="0"/>
      <w:divBdr>
        <w:top w:val="none" w:sz="0" w:space="0" w:color="auto"/>
        <w:left w:val="none" w:sz="0" w:space="0" w:color="auto"/>
        <w:bottom w:val="none" w:sz="0" w:space="0" w:color="auto"/>
        <w:right w:val="none" w:sz="0" w:space="0" w:color="auto"/>
      </w:divBdr>
    </w:div>
    <w:div w:id="711155589">
      <w:bodyDiv w:val="1"/>
      <w:marLeft w:val="0"/>
      <w:marRight w:val="0"/>
      <w:marTop w:val="0"/>
      <w:marBottom w:val="0"/>
      <w:divBdr>
        <w:top w:val="none" w:sz="0" w:space="0" w:color="auto"/>
        <w:left w:val="none" w:sz="0" w:space="0" w:color="auto"/>
        <w:bottom w:val="none" w:sz="0" w:space="0" w:color="auto"/>
        <w:right w:val="none" w:sz="0" w:space="0" w:color="auto"/>
      </w:divBdr>
    </w:div>
    <w:div w:id="762459888">
      <w:bodyDiv w:val="1"/>
      <w:marLeft w:val="0"/>
      <w:marRight w:val="0"/>
      <w:marTop w:val="0"/>
      <w:marBottom w:val="0"/>
      <w:divBdr>
        <w:top w:val="none" w:sz="0" w:space="0" w:color="auto"/>
        <w:left w:val="none" w:sz="0" w:space="0" w:color="auto"/>
        <w:bottom w:val="none" w:sz="0" w:space="0" w:color="auto"/>
        <w:right w:val="none" w:sz="0" w:space="0" w:color="auto"/>
      </w:divBdr>
    </w:div>
    <w:div w:id="1301808101">
      <w:bodyDiv w:val="1"/>
      <w:marLeft w:val="0"/>
      <w:marRight w:val="0"/>
      <w:marTop w:val="0"/>
      <w:marBottom w:val="0"/>
      <w:divBdr>
        <w:top w:val="none" w:sz="0" w:space="0" w:color="auto"/>
        <w:left w:val="none" w:sz="0" w:space="0" w:color="auto"/>
        <w:bottom w:val="none" w:sz="0" w:space="0" w:color="auto"/>
        <w:right w:val="none" w:sz="0" w:space="0" w:color="auto"/>
      </w:divBdr>
    </w:div>
    <w:div w:id="1498692466">
      <w:bodyDiv w:val="1"/>
      <w:marLeft w:val="0"/>
      <w:marRight w:val="0"/>
      <w:marTop w:val="0"/>
      <w:marBottom w:val="0"/>
      <w:divBdr>
        <w:top w:val="none" w:sz="0" w:space="0" w:color="auto"/>
        <w:left w:val="none" w:sz="0" w:space="0" w:color="auto"/>
        <w:bottom w:val="none" w:sz="0" w:space="0" w:color="auto"/>
        <w:right w:val="none" w:sz="0" w:space="0" w:color="auto"/>
      </w:divBdr>
    </w:div>
    <w:div w:id="1664354342">
      <w:bodyDiv w:val="1"/>
      <w:marLeft w:val="0"/>
      <w:marRight w:val="0"/>
      <w:marTop w:val="0"/>
      <w:marBottom w:val="0"/>
      <w:divBdr>
        <w:top w:val="none" w:sz="0" w:space="0" w:color="auto"/>
        <w:left w:val="none" w:sz="0" w:space="0" w:color="auto"/>
        <w:bottom w:val="none" w:sz="0" w:space="0" w:color="auto"/>
        <w:right w:val="none" w:sz="0" w:space="0" w:color="auto"/>
      </w:divBdr>
    </w:div>
    <w:div w:id="1738867936">
      <w:bodyDiv w:val="1"/>
      <w:marLeft w:val="0"/>
      <w:marRight w:val="0"/>
      <w:marTop w:val="0"/>
      <w:marBottom w:val="0"/>
      <w:divBdr>
        <w:top w:val="none" w:sz="0" w:space="0" w:color="auto"/>
        <w:left w:val="none" w:sz="0" w:space="0" w:color="auto"/>
        <w:bottom w:val="none" w:sz="0" w:space="0" w:color="auto"/>
        <w:right w:val="none" w:sz="0" w:space="0" w:color="auto"/>
      </w:divBdr>
    </w:div>
    <w:div w:id="1909026814">
      <w:bodyDiv w:val="1"/>
      <w:marLeft w:val="0"/>
      <w:marRight w:val="0"/>
      <w:marTop w:val="0"/>
      <w:marBottom w:val="0"/>
      <w:divBdr>
        <w:top w:val="none" w:sz="0" w:space="0" w:color="auto"/>
        <w:left w:val="none" w:sz="0" w:space="0" w:color="auto"/>
        <w:bottom w:val="none" w:sz="0" w:space="0" w:color="auto"/>
        <w:right w:val="none" w:sz="0" w:space="0" w:color="auto"/>
      </w:divBdr>
    </w:div>
    <w:div w:id="19330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2024-07-02T21:43:00Z</dcterms:created>
  <dcterms:modified xsi:type="dcterms:W3CDTF">2024-07-02T21:43:00Z</dcterms:modified>
</cp:coreProperties>
</file>