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42" w:rsidRPr="00F679CC" w:rsidRDefault="00777A72" w:rsidP="00777A72">
      <w:pPr>
        <w:pStyle w:val="ConsPlusNormal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Пр</w:t>
      </w:r>
      <w:r w:rsidR="003B4042" w:rsidRPr="00F679CC">
        <w:rPr>
          <w:sz w:val="28"/>
          <w:szCs w:val="28"/>
        </w:rPr>
        <w:t xml:space="preserve">иложение № </w:t>
      </w:r>
      <w:r w:rsidR="004279F5">
        <w:rPr>
          <w:sz w:val="28"/>
          <w:szCs w:val="28"/>
        </w:rPr>
        <w:t>4</w:t>
      </w:r>
    </w:p>
    <w:p w:rsidR="00777A7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3B4042" w:rsidRPr="00F679C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                 </w:t>
      </w:r>
    </w:p>
    <w:p w:rsidR="003B4042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777A72" w:rsidRPr="00F679CC" w:rsidRDefault="00777A72" w:rsidP="00777A7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893580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893580">
        <w:rPr>
          <w:sz w:val="28"/>
          <w:szCs w:val="28"/>
        </w:rPr>
        <w:t xml:space="preserve"> 31.01.2024 </w:t>
      </w:r>
      <w:r>
        <w:rPr>
          <w:sz w:val="28"/>
          <w:szCs w:val="28"/>
        </w:rPr>
        <w:t xml:space="preserve">№ </w:t>
      </w:r>
      <w:r w:rsidR="00893580">
        <w:rPr>
          <w:sz w:val="28"/>
          <w:szCs w:val="28"/>
        </w:rPr>
        <w:t>22</w:t>
      </w:r>
      <w:bookmarkStart w:id="0" w:name="_GoBack"/>
      <w:bookmarkEnd w:id="0"/>
    </w:p>
    <w:p w:rsidR="003B4042" w:rsidRPr="00F679CC" w:rsidRDefault="003B4042" w:rsidP="003B4042">
      <w:pPr>
        <w:pStyle w:val="ConsPlusTitle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99"/>
      <w:bookmarkEnd w:id="1"/>
      <w:r w:rsidRPr="00F679CC">
        <w:rPr>
          <w:rFonts w:ascii="Times New Roman" w:hAnsi="Times New Roman" w:cs="Times New Roman"/>
          <w:sz w:val="28"/>
          <w:szCs w:val="28"/>
        </w:rPr>
        <w:t>МЕТОДИКА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79CC">
        <w:rPr>
          <w:rFonts w:ascii="Times New Roman" w:hAnsi="Times New Roman" w:cs="Times New Roman"/>
          <w:sz w:val="28"/>
          <w:szCs w:val="28"/>
        </w:rPr>
        <w:t xml:space="preserve">расчета </w:t>
      </w:r>
      <w:proofErr w:type="gramStart"/>
      <w:r w:rsidRPr="00F679CC">
        <w:rPr>
          <w:rFonts w:ascii="Times New Roman" w:hAnsi="Times New Roman" w:cs="Times New Roman"/>
          <w:sz w:val="28"/>
          <w:szCs w:val="28"/>
        </w:rPr>
        <w:t xml:space="preserve">значений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79CC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Pr="00F67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042" w:rsidRDefault="003B4042" w:rsidP="003B4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7"/>
        <w:gridCol w:w="4746"/>
        <w:gridCol w:w="8810"/>
      </w:tblGrid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Normal"/>
              <w:jc w:val="both"/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№ 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культуры, спорта и молодежной политики»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физической культурой и спортом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0639B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– </w:t>
            </w:r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AD4EA9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063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Уровень удовлетворенности жителей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Юрьянского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качеством предоставления муниципальных услуг в сфере культуры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</w:p>
          <w:p w:rsidR="003B4042" w:rsidRDefault="003B4042" w:rsidP="003B4042">
            <w:pPr>
              <w:pStyle w:val="ConsPlusNormal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Уужкпу=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Кжукпу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Окожр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×100</m:t>
              </m:r>
            </m:oMath>
            <w:r>
              <w:rPr>
                <w:sz w:val="24"/>
                <w:szCs w:val="24"/>
              </w:rPr>
              <w:t xml:space="preserve"> где: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AD4EA9">
              <w:rPr>
                <w:sz w:val="28"/>
                <w:szCs w:val="28"/>
              </w:rPr>
              <w:t>У</w:t>
            </w:r>
            <w:r w:rsidRPr="000639B2">
              <w:rPr>
                <w:sz w:val="24"/>
                <w:szCs w:val="24"/>
              </w:rPr>
              <w:t>ужкпу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D4EA9">
              <w:rPr>
                <w:sz w:val="24"/>
                <w:szCs w:val="24"/>
              </w:rPr>
              <w:t xml:space="preserve"> уровень</w:t>
            </w:r>
            <w:r>
              <w:rPr>
                <w:sz w:val="24"/>
                <w:szCs w:val="24"/>
              </w:rPr>
              <w:t xml:space="preserve"> удовлетворенности жителей качеством предоставления муниципальных услуг</w:t>
            </w:r>
          </w:p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</w:t>
            </w:r>
            <w:r w:rsidRPr="000639B2">
              <w:rPr>
                <w:sz w:val="24"/>
                <w:szCs w:val="24"/>
              </w:rPr>
              <w:t>кожр</w:t>
            </w:r>
            <w:proofErr w:type="spellEnd"/>
            <w:r>
              <w:rPr>
                <w:sz w:val="24"/>
                <w:szCs w:val="24"/>
              </w:rPr>
              <w:t xml:space="preserve"> – общее количество опрошенных жителей </w:t>
            </w:r>
            <w:proofErr w:type="gramStart"/>
            <w:r>
              <w:rPr>
                <w:sz w:val="24"/>
                <w:szCs w:val="24"/>
              </w:rPr>
              <w:t>района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</w:t>
            </w:r>
          </w:p>
          <w:p w:rsidR="003B4042" w:rsidRPr="00874F37" w:rsidRDefault="003B4042" w:rsidP="003B404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D51DD6">
              <w:rPr>
                <w:sz w:val="28"/>
                <w:szCs w:val="28"/>
              </w:rPr>
              <w:t>К</w:t>
            </w:r>
            <w:r w:rsidRPr="000639B2">
              <w:rPr>
                <w:sz w:val="24"/>
                <w:szCs w:val="24"/>
              </w:rPr>
              <w:t>жукпу</w:t>
            </w:r>
            <w:proofErr w:type="spellEnd"/>
            <w:r w:rsidRPr="000639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количество жителей, удовлетворенных качеством предоставления </w:t>
            </w:r>
            <w:proofErr w:type="gramStart"/>
            <w:r>
              <w:rPr>
                <w:sz w:val="24"/>
                <w:szCs w:val="24"/>
              </w:rPr>
              <w:t>услуг</w:t>
            </w:r>
            <w:proofErr w:type="gramEnd"/>
            <w:r>
              <w:rPr>
                <w:sz w:val="24"/>
                <w:szCs w:val="24"/>
              </w:rPr>
              <w:t xml:space="preserve"> согласно проведенным социологическим опросам  </w:t>
            </w:r>
            <w:r w:rsidRPr="00874F37">
              <w:rPr>
                <w:sz w:val="24"/>
                <w:szCs w:val="24"/>
              </w:rPr>
              <w:t>(процент)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молодых людей, принимающих 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участие в социально-значимых акциях, 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значение показателя определяется согласно данным ведомственной отчетности 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районных мероприятий (смотров - конкурсов)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читателей муниципального казенного учреждения «</w:t>
            </w:r>
            <w:proofErr w:type="spell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согласно данным федерального статистического наблюдения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1-ДО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Библиотечно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информационное обслуживание населения муниципальным казенным учреждением «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Юрьянская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читателей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книговыдач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экземпляры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proofErr w:type="spellStart"/>
            <w:r w:rsidRPr="002409AD">
              <w:rPr>
                <w:sz w:val="24"/>
                <w:szCs w:val="24"/>
              </w:rPr>
              <w:t>Обновляемость</w:t>
            </w:r>
            <w:proofErr w:type="spellEnd"/>
            <w:r w:rsidRPr="002409AD">
              <w:rPr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tabs>
                <w:tab w:val="left" w:pos="2629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ОБФ=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ПКГ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ОКФ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библиотечных фондов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ПКГ – приобретенные книги в текущем году.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</w:t>
            </w:r>
          </w:p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ОКФ – общий книжный фонд. З</w:t>
            </w: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 «ЦБС»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Библиотечный фонд в расчете </w:t>
            </w:r>
            <w:r w:rsidRPr="00194EC3">
              <w:rPr>
                <w:sz w:val="24"/>
                <w:szCs w:val="24"/>
              </w:rPr>
              <w:lastRenderedPageBreak/>
              <w:t>количества экземпляров на 1000 чел. населения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 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федерального статистического наблюдения № 6-нк 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проценты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:rsidR="003B4042" w:rsidRPr="00874F37" w:rsidRDefault="003B4042" w:rsidP="003B4042">
            <w:pPr>
              <w:rPr>
                <w:sz w:val="24"/>
                <w:szCs w:val="24"/>
              </w:rPr>
            </w:pPr>
            <w:r w:rsidRPr="00874F37">
              <w:rPr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Учукдм=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Чукдмтг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Чукдмпг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  <w:r>
              <w:rPr>
                <w:rFonts w:ascii="Cambria Math" w:hAnsi="Cambria Math" w:cs="Times New Roman"/>
                <w:sz w:val="24"/>
                <w:szCs w:val="24"/>
              </w:rPr>
              <w:br/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чукдм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увеличение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</w:t>
            </w:r>
          </w:p>
          <w:p w:rsidR="003B4042" w:rsidRPr="00206F1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укдмт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spell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текущем году. Значение показателям определятся согласно данным федерального статистического наблюдения № 7-нк;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proofErr w:type="spellStart"/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Ч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укдмпг</w:t>
            </w:r>
            <w:proofErr w:type="spellEnd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численности участников культурно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досуговых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06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в  прошлом году. Значение показателям определятся согласно данным федерального статистического наблюдения № 7-нк; (% по отношению к предыдущему году)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посещений на платной основе</w:t>
            </w:r>
          </w:p>
        </w:tc>
        <w:tc>
          <w:tcPr>
            <w:tcW w:w="8931" w:type="dxa"/>
          </w:tcPr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23AB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определятся согласно данным федерального статистического наблюдения № 7-нк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ярмарок, выставок народного творчества, ремесел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участников клубных формирований;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7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-нк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МКУ «РИМ и БЦ»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«Дополнительное образование детей в  школах искусств»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194EC3">
              <w:rPr>
                <w:sz w:val="24"/>
                <w:szCs w:val="24"/>
              </w:rPr>
              <w:t>профессиональных</w:t>
            </w:r>
            <w:proofErr w:type="gramEnd"/>
            <w:r w:rsidRPr="00194EC3">
              <w:rPr>
                <w:sz w:val="24"/>
                <w:szCs w:val="24"/>
              </w:rPr>
              <w:t xml:space="preserve"> </w:t>
            </w:r>
          </w:p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определяется согласно данным ведомственной отчетности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 искусств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4.3 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реализуемых образовательных программ по предметам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1ДШИ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4.4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</w:rPr>
            </w:pPr>
            <w:r w:rsidRPr="00194EC3">
              <w:rPr>
                <w:rFonts w:cs="Times New Roman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данным федеральног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статистического наблюдения № 1-ДО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4.5</w:t>
            </w:r>
          </w:p>
        </w:tc>
        <w:tc>
          <w:tcPr>
            <w:tcW w:w="4819" w:type="dxa"/>
          </w:tcPr>
          <w:p w:rsidR="003B4042" w:rsidRPr="002409AD" w:rsidRDefault="003B4042" w:rsidP="003B4042">
            <w:pPr>
              <w:rPr>
                <w:sz w:val="24"/>
                <w:szCs w:val="24"/>
              </w:rPr>
            </w:pPr>
            <w:r w:rsidRPr="002409AD">
              <w:rPr>
                <w:sz w:val="24"/>
                <w:szCs w:val="24"/>
              </w:rPr>
              <w:t>доля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рассчитывается по формуле: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B4042" w:rsidRPr="00EF5A67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Дупвсуч=</m:t>
                </m:r>
                <m:f>
                  <m:fPr>
                    <m:ctrlPr>
                      <w:rPr>
                        <w:rFonts w:ascii="Cambria Math" w:hAnsi="Cambria Math" w:cs="Times New Roman"/>
                        <w:b w:val="0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Купвсузмши+Купвсузюши+Купвсузмши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Оквмши+Оквюши+Оквмшхи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упвсуч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доля учащихся, поступивших в высшие и средне специальные учебные заведения;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упвсузюши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упвсузмшхи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учащихся, поступивших в высшие и средние специальные учебные заведения из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квюш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искусств;</w:t>
            </w:r>
          </w:p>
          <w:p w:rsidR="003B4042" w:rsidRPr="002409AD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квмшх</w:t>
            </w:r>
            <w:proofErr w:type="gramStart"/>
            <w:r w:rsidRPr="00874F37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общее количество выпускников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Мурыгинской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школы хореографического искусства. </w:t>
            </w:r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показателей отражено  в </w:t>
            </w:r>
            <w:proofErr w:type="spellStart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федеральномстатистическом</w:t>
            </w:r>
            <w:proofErr w:type="spellEnd"/>
            <w:r w:rsidRPr="002409A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наблюдении № 1- ДШИ (проценты)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Юрьянском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5.1</w:t>
            </w:r>
          </w:p>
        </w:tc>
        <w:tc>
          <w:tcPr>
            <w:tcW w:w="4819" w:type="dxa"/>
          </w:tcPr>
          <w:p w:rsidR="003B4042" w:rsidRPr="00E4705F" w:rsidRDefault="003B4042" w:rsidP="003B4042">
            <w:pPr>
              <w:rPr>
                <w:sz w:val="24"/>
                <w:szCs w:val="24"/>
              </w:rPr>
            </w:pPr>
            <w:r w:rsidRPr="00E4705F">
              <w:rPr>
                <w:sz w:val="24"/>
                <w:szCs w:val="24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8931" w:type="dxa"/>
          </w:tcPr>
          <w:p w:rsidR="003B4042" w:rsidRDefault="003B4042" w:rsidP="003B404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значение показателя рассчитывается по формуле:</w:t>
            </w:r>
          </w:p>
          <w:p w:rsidR="003B4042" w:rsidRDefault="003B4042" w:rsidP="00FB4EC2">
            <w:pPr>
              <w:pStyle w:val="ConsPlusTitle"/>
              <w:tabs>
                <w:tab w:val="left" w:pos="3165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Днрзфс=</m:t>
              </m:r>
              <m:f>
                <m:fPr>
                  <m:ctrlPr>
                    <w:rPr>
                      <w:rFonts w:ascii="Cambria Math" w:hAnsi="Cambria Math" w:cs="Times New Roman"/>
                      <w:b w:val="0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Кзфс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Окжр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×100</m:t>
              </m:r>
            </m:oMath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Днрзфс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населения регулярно занимающегося физкультурой и спортом</w:t>
            </w:r>
          </w:p>
          <w:p w:rsidR="003B4042" w:rsidRPr="006B0194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Кзфс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B0194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– 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людей занимающихся физкультурой и спортом согласно федеральному статистическому наблюдению № 1 – ФК;</w:t>
            </w:r>
          </w:p>
          <w:p w:rsidR="003B4042" w:rsidRPr="00F23ABC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Окжр</w:t>
            </w:r>
            <w:proofErr w:type="spellEnd"/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жителей района (процент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Pr="006B0194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спортивных сооружений</w:t>
            </w:r>
          </w:p>
        </w:tc>
        <w:tc>
          <w:tcPr>
            <w:tcW w:w="8931" w:type="dxa"/>
          </w:tcPr>
          <w:p w:rsidR="003B4042" w:rsidRPr="002F3975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показателям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наблюдения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1-ФК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5.3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спортсменов, выполнивших нормативы ГТО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ГТО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</w:t>
            </w:r>
            <w:proofErr w:type="spellStart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194EC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6.1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1- молодежь 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6.2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волонтеров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значение показателя  определятся  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данным</w:t>
            </w:r>
            <w:r w:rsidRPr="002F39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федерального статистического </w:t>
            </w:r>
            <w:r w:rsidRPr="00D00C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наблюдения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1- молодежь </w:t>
            </w:r>
            <w:r w:rsidRPr="007D42A3">
              <w:rPr>
                <w:rFonts w:ascii="Times New Roman" w:hAnsi="Times New Roman" w:cs="Times New Roman"/>
                <w:b w:val="0"/>
                <w:sz w:val="24"/>
                <w:szCs w:val="24"/>
              </w:rPr>
              <w:t>(человек)</w:t>
            </w:r>
          </w:p>
        </w:tc>
      </w:tr>
      <w:tr w:rsidR="003B4042" w:rsidTr="003B4042">
        <w:tc>
          <w:tcPr>
            <w:tcW w:w="959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EC3">
              <w:rPr>
                <w:rFonts w:ascii="Times New Roman" w:hAnsi="Times New Roman" w:cs="Times New Roman"/>
                <w:b w:val="0"/>
                <w:sz w:val="28"/>
                <w:szCs w:val="28"/>
              </w:rPr>
              <w:t>6.3</w:t>
            </w:r>
          </w:p>
        </w:tc>
        <w:tc>
          <w:tcPr>
            <w:tcW w:w="4819" w:type="dxa"/>
          </w:tcPr>
          <w:p w:rsidR="003B4042" w:rsidRPr="00194EC3" w:rsidRDefault="003B4042" w:rsidP="003B4042">
            <w:pPr>
              <w:rPr>
                <w:sz w:val="24"/>
                <w:szCs w:val="24"/>
              </w:rPr>
            </w:pPr>
            <w:r w:rsidRPr="00194EC3">
              <w:rPr>
                <w:sz w:val="24"/>
                <w:szCs w:val="24"/>
              </w:rPr>
              <w:t>Количество реализуемых проектов, мероприятий</w:t>
            </w:r>
          </w:p>
        </w:tc>
        <w:tc>
          <w:tcPr>
            <w:tcW w:w="8931" w:type="dxa"/>
          </w:tcPr>
          <w:p w:rsidR="003B4042" w:rsidRPr="00194EC3" w:rsidRDefault="003B4042" w:rsidP="003B404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EC3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 определяется согласно данным ведомственной отчетности управления культуры и молодежной политики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(единиц)</w:t>
            </w:r>
            <w:r w:rsidR="00111E1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3B4042" w:rsidRDefault="003B4042" w:rsidP="003B404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06CB3" w:rsidRDefault="00C06CB3" w:rsidP="00C06CB3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  <w:sectPr w:rsidR="00C06CB3" w:rsidSect="00777A72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</w:p>
    <w:p w:rsidR="00F6135B" w:rsidRDefault="00F6135B" w:rsidP="005D6EFE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sectPr w:rsidR="00F6135B" w:rsidSect="00141FDC">
      <w:pgSz w:w="11906" w:h="16838"/>
      <w:pgMar w:top="709" w:right="709" w:bottom="567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E1" w:rsidRPr="00102CDD" w:rsidRDefault="007531E1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7531E1" w:rsidRPr="00102CDD" w:rsidRDefault="007531E1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E1" w:rsidRPr="00102CDD" w:rsidRDefault="007531E1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7531E1" w:rsidRPr="00102CDD" w:rsidRDefault="007531E1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4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5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6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7"/>
  </w:num>
  <w:num w:numId="12">
    <w:abstractNumId w:val="18"/>
  </w:num>
  <w:num w:numId="13">
    <w:abstractNumId w:val="23"/>
  </w:num>
  <w:num w:numId="14">
    <w:abstractNumId w:val="36"/>
  </w:num>
  <w:num w:numId="15">
    <w:abstractNumId w:val="35"/>
  </w:num>
  <w:num w:numId="16">
    <w:abstractNumId w:val="30"/>
  </w:num>
  <w:num w:numId="17">
    <w:abstractNumId w:val="27"/>
  </w:num>
  <w:num w:numId="18">
    <w:abstractNumId w:val="31"/>
  </w:num>
  <w:num w:numId="19">
    <w:abstractNumId w:val="34"/>
  </w:num>
  <w:num w:numId="20">
    <w:abstractNumId w:val="25"/>
  </w:num>
  <w:num w:numId="21">
    <w:abstractNumId w:val="32"/>
  </w:num>
  <w:num w:numId="22">
    <w:abstractNumId w:val="33"/>
  </w:num>
  <w:num w:numId="23">
    <w:abstractNumId w:val="19"/>
  </w:num>
  <w:num w:numId="24">
    <w:abstractNumId w:val="26"/>
  </w:num>
  <w:num w:numId="25">
    <w:abstractNumId w:val="22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37"/>
  </w:num>
  <w:num w:numId="31">
    <w:abstractNumId w:val="21"/>
  </w:num>
  <w:num w:numId="32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40F"/>
    <w:rsid w:val="00010BA2"/>
    <w:rsid w:val="00016BC4"/>
    <w:rsid w:val="00020DDF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5E7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CA5"/>
    <w:rsid w:val="0010162A"/>
    <w:rsid w:val="001020A7"/>
    <w:rsid w:val="00102CDD"/>
    <w:rsid w:val="001053E9"/>
    <w:rsid w:val="00107684"/>
    <w:rsid w:val="00110209"/>
    <w:rsid w:val="00111E19"/>
    <w:rsid w:val="001175FF"/>
    <w:rsid w:val="00117B5E"/>
    <w:rsid w:val="00121C58"/>
    <w:rsid w:val="00133BE9"/>
    <w:rsid w:val="00140CE0"/>
    <w:rsid w:val="00141CEE"/>
    <w:rsid w:val="00141FDC"/>
    <w:rsid w:val="00142304"/>
    <w:rsid w:val="00150485"/>
    <w:rsid w:val="001525DD"/>
    <w:rsid w:val="001532C1"/>
    <w:rsid w:val="00161DAD"/>
    <w:rsid w:val="00167AA4"/>
    <w:rsid w:val="001708F0"/>
    <w:rsid w:val="0017195A"/>
    <w:rsid w:val="0017358C"/>
    <w:rsid w:val="00180535"/>
    <w:rsid w:val="00181948"/>
    <w:rsid w:val="00181D02"/>
    <w:rsid w:val="00182D0F"/>
    <w:rsid w:val="00182F38"/>
    <w:rsid w:val="00187DEF"/>
    <w:rsid w:val="00194905"/>
    <w:rsid w:val="0019631F"/>
    <w:rsid w:val="001A2EAB"/>
    <w:rsid w:val="001A68AF"/>
    <w:rsid w:val="001C1880"/>
    <w:rsid w:val="001C1CE7"/>
    <w:rsid w:val="001D255A"/>
    <w:rsid w:val="001D584D"/>
    <w:rsid w:val="001E0C9E"/>
    <w:rsid w:val="001E4170"/>
    <w:rsid w:val="001E69F3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7AC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5DF2"/>
    <w:rsid w:val="00316D11"/>
    <w:rsid w:val="00316DC6"/>
    <w:rsid w:val="003171A4"/>
    <w:rsid w:val="00317CC1"/>
    <w:rsid w:val="00323E28"/>
    <w:rsid w:val="00325408"/>
    <w:rsid w:val="003332F0"/>
    <w:rsid w:val="00336428"/>
    <w:rsid w:val="0034079B"/>
    <w:rsid w:val="003412A1"/>
    <w:rsid w:val="0034248D"/>
    <w:rsid w:val="00347E3B"/>
    <w:rsid w:val="00370748"/>
    <w:rsid w:val="003716E9"/>
    <w:rsid w:val="00372E9D"/>
    <w:rsid w:val="00380887"/>
    <w:rsid w:val="003903E2"/>
    <w:rsid w:val="0039237E"/>
    <w:rsid w:val="003934CE"/>
    <w:rsid w:val="00393E4E"/>
    <w:rsid w:val="00397053"/>
    <w:rsid w:val="00397918"/>
    <w:rsid w:val="00397CAF"/>
    <w:rsid w:val="003A3B89"/>
    <w:rsid w:val="003A4970"/>
    <w:rsid w:val="003A4E4A"/>
    <w:rsid w:val="003A5E3E"/>
    <w:rsid w:val="003B4042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06A8C"/>
    <w:rsid w:val="00412B2F"/>
    <w:rsid w:val="00414669"/>
    <w:rsid w:val="0041564D"/>
    <w:rsid w:val="00417B20"/>
    <w:rsid w:val="00420374"/>
    <w:rsid w:val="004213D8"/>
    <w:rsid w:val="004279F5"/>
    <w:rsid w:val="00431125"/>
    <w:rsid w:val="00431F23"/>
    <w:rsid w:val="00434AAC"/>
    <w:rsid w:val="00434E9B"/>
    <w:rsid w:val="00441857"/>
    <w:rsid w:val="00445248"/>
    <w:rsid w:val="00445F16"/>
    <w:rsid w:val="00446013"/>
    <w:rsid w:val="00450CEC"/>
    <w:rsid w:val="00462E8C"/>
    <w:rsid w:val="00470E25"/>
    <w:rsid w:val="00470E68"/>
    <w:rsid w:val="00472009"/>
    <w:rsid w:val="004738C5"/>
    <w:rsid w:val="004746B1"/>
    <w:rsid w:val="0048019C"/>
    <w:rsid w:val="00480AF8"/>
    <w:rsid w:val="004900F6"/>
    <w:rsid w:val="00492871"/>
    <w:rsid w:val="00496C55"/>
    <w:rsid w:val="004B5C90"/>
    <w:rsid w:val="004C14C5"/>
    <w:rsid w:val="004C195A"/>
    <w:rsid w:val="004C7FCE"/>
    <w:rsid w:val="004D15FF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1688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1660"/>
    <w:rsid w:val="00583B7C"/>
    <w:rsid w:val="00595964"/>
    <w:rsid w:val="005B0FEE"/>
    <w:rsid w:val="005B3CF5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213D7"/>
    <w:rsid w:val="00632C51"/>
    <w:rsid w:val="00634BF8"/>
    <w:rsid w:val="006366BC"/>
    <w:rsid w:val="0064023C"/>
    <w:rsid w:val="0064084E"/>
    <w:rsid w:val="00641341"/>
    <w:rsid w:val="0064316F"/>
    <w:rsid w:val="00647A2C"/>
    <w:rsid w:val="006554AC"/>
    <w:rsid w:val="00660D61"/>
    <w:rsid w:val="006660E5"/>
    <w:rsid w:val="00673218"/>
    <w:rsid w:val="00673C64"/>
    <w:rsid w:val="00677085"/>
    <w:rsid w:val="00680D06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21AC"/>
    <w:rsid w:val="00745F01"/>
    <w:rsid w:val="007462E8"/>
    <w:rsid w:val="00746BD0"/>
    <w:rsid w:val="00747950"/>
    <w:rsid w:val="00752FD1"/>
    <w:rsid w:val="007531E1"/>
    <w:rsid w:val="00754530"/>
    <w:rsid w:val="00754D64"/>
    <w:rsid w:val="007560EE"/>
    <w:rsid w:val="00756756"/>
    <w:rsid w:val="0075709A"/>
    <w:rsid w:val="007667BA"/>
    <w:rsid w:val="007671A0"/>
    <w:rsid w:val="00770BC3"/>
    <w:rsid w:val="00771AAF"/>
    <w:rsid w:val="00777A72"/>
    <w:rsid w:val="00780248"/>
    <w:rsid w:val="007829DE"/>
    <w:rsid w:val="00790DF6"/>
    <w:rsid w:val="00791F16"/>
    <w:rsid w:val="0079530B"/>
    <w:rsid w:val="007A6A1F"/>
    <w:rsid w:val="007B1513"/>
    <w:rsid w:val="007B5204"/>
    <w:rsid w:val="007D4E9E"/>
    <w:rsid w:val="007E0E2A"/>
    <w:rsid w:val="007E31FA"/>
    <w:rsid w:val="007E5578"/>
    <w:rsid w:val="007F1367"/>
    <w:rsid w:val="007F22F4"/>
    <w:rsid w:val="007F306D"/>
    <w:rsid w:val="007F30A7"/>
    <w:rsid w:val="007F3904"/>
    <w:rsid w:val="007F5012"/>
    <w:rsid w:val="007F5F77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725E3"/>
    <w:rsid w:val="00885EBF"/>
    <w:rsid w:val="00893580"/>
    <w:rsid w:val="00895089"/>
    <w:rsid w:val="00896ED5"/>
    <w:rsid w:val="008B1157"/>
    <w:rsid w:val="008B188E"/>
    <w:rsid w:val="008B2D02"/>
    <w:rsid w:val="008B4EEA"/>
    <w:rsid w:val="008B53C7"/>
    <w:rsid w:val="008B53D8"/>
    <w:rsid w:val="008B6642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24BBF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E0A43"/>
    <w:rsid w:val="009E4BFC"/>
    <w:rsid w:val="009F2744"/>
    <w:rsid w:val="009F3090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BC6"/>
    <w:rsid w:val="00A45D19"/>
    <w:rsid w:val="00A64312"/>
    <w:rsid w:val="00A65FE2"/>
    <w:rsid w:val="00A67C9F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41F8"/>
    <w:rsid w:val="00AF54D7"/>
    <w:rsid w:val="00AF7DA5"/>
    <w:rsid w:val="00B01B6A"/>
    <w:rsid w:val="00B0249E"/>
    <w:rsid w:val="00B03F46"/>
    <w:rsid w:val="00B14CE9"/>
    <w:rsid w:val="00B20384"/>
    <w:rsid w:val="00B2608B"/>
    <w:rsid w:val="00B26E4C"/>
    <w:rsid w:val="00B30F6F"/>
    <w:rsid w:val="00B31C37"/>
    <w:rsid w:val="00B419E2"/>
    <w:rsid w:val="00B42F6D"/>
    <w:rsid w:val="00B44E6D"/>
    <w:rsid w:val="00B47AD9"/>
    <w:rsid w:val="00B51179"/>
    <w:rsid w:val="00B545D1"/>
    <w:rsid w:val="00B6288C"/>
    <w:rsid w:val="00B63EC8"/>
    <w:rsid w:val="00B66C51"/>
    <w:rsid w:val="00B67CCC"/>
    <w:rsid w:val="00B74234"/>
    <w:rsid w:val="00B83209"/>
    <w:rsid w:val="00B8360C"/>
    <w:rsid w:val="00B83E21"/>
    <w:rsid w:val="00BA100E"/>
    <w:rsid w:val="00BA5DC4"/>
    <w:rsid w:val="00BA6101"/>
    <w:rsid w:val="00BA6CFB"/>
    <w:rsid w:val="00BA6FA5"/>
    <w:rsid w:val="00BB3B13"/>
    <w:rsid w:val="00BC21F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06CB3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24F0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51B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073A"/>
    <w:rsid w:val="00D268CF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877D1"/>
    <w:rsid w:val="00D947A8"/>
    <w:rsid w:val="00D9516B"/>
    <w:rsid w:val="00D96AF4"/>
    <w:rsid w:val="00D974F9"/>
    <w:rsid w:val="00DA28C5"/>
    <w:rsid w:val="00DA5667"/>
    <w:rsid w:val="00DA636A"/>
    <w:rsid w:val="00DA754A"/>
    <w:rsid w:val="00DB12C5"/>
    <w:rsid w:val="00DB6B9D"/>
    <w:rsid w:val="00DC52BB"/>
    <w:rsid w:val="00DD36D5"/>
    <w:rsid w:val="00DE0567"/>
    <w:rsid w:val="00DE3B46"/>
    <w:rsid w:val="00DE6395"/>
    <w:rsid w:val="00DE63A8"/>
    <w:rsid w:val="00DF03A0"/>
    <w:rsid w:val="00DF3E73"/>
    <w:rsid w:val="00DF5C49"/>
    <w:rsid w:val="00E145CA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9E7"/>
    <w:rsid w:val="00F6623B"/>
    <w:rsid w:val="00F67AC9"/>
    <w:rsid w:val="00F710B3"/>
    <w:rsid w:val="00F72106"/>
    <w:rsid w:val="00F771D1"/>
    <w:rsid w:val="00F82328"/>
    <w:rsid w:val="00F9097C"/>
    <w:rsid w:val="00F917A7"/>
    <w:rsid w:val="00F92CC1"/>
    <w:rsid w:val="00F96319"/>
    <w:rsid w:val="00F9667C"/>
    <w:rsid w:val="00F97990"/>
    <w:rsid w:val="00FA3C3A"/>
    <w:rsid w:val="00FA4223"/>
    <w:rsid w:val="00FB1FF0"/>
    <w:rsid w:val="00FB4EC2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3AEC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B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40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F3CCC-94E1-4090-A8E8-A2E3C9A7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1292</Words>
  <Characters>7370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 2</vt:lpstr>
    </vt:vector>
  </TitlesOfParts>
  <Company/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17</cp:revision>
  <cp:lastPrinted>2022-12-20T10:44:00Z</cp:lastPrinted>
  <dcterms:created xsi:type="dcterms:W3CDTF">2021-07-19T09:53:00Z</dcterms:created>
  <dcterms:modified xsi:type="dcterms:W3CDTF">2024-02-02T08:26:00Z</dcterms:modified>
</cp:coreProperties>
</file>